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240" w:line="240" w:lineRule="auto"/>
        <w:jc w:val="center"/>
      </w:pPr>
      <w:r>
        <w:rPr>
          <w:b/>
          <w:color w:val="0B3954"/>
          <w:sz w:val="54"/>
        </w:rPr>
        <w:t>IB Mathematics: Applications and Interpretation SL/HL</w:t>
      </w:r>
    </w:p>
    <w:p>
      <w:pPr>
        <w:spacing w:before="0" w:after="360" w:line="240" w:lineRule="auto"/>
        <w:jc w:val="center"/>
      </w:pPr>
      <w:r>
        <w:rPr>
          <w:color w:val="0E9AA7"/>
          <w:sz w:val="28"/>
        </w:rPr>
        <w:t>Structured Study Guide</w:t>
      </w:r>
    </w:p>
    <w:tbl>
      <w:tblPr>
        <w:tblW w:type="auto" w:w="0"/>
        <w:jc w:val="center"/>
        <w:tblLook w:firstColumn="1" w:firstRow="1" w:lastColumn="0" w:lastRow="0" w:noHBand="0" w:noVBand="1" w:val="04A0"/>
      </w:tblPr>
      <w:tblGrid>
        <w:gridCol w:w="10512"/>
      </w:tblGrid>
      <w:tr>
        <w:tc>
          <w:tcPr>
            <w:tcW w:type="dxa" w:w="10512"/>
            <w:shd w:fill="E6F4F7"/>
            <w:tcBorders>
              <w:top w:sz="8" w:val="single" w:color="A7DCE3"/>
              <w:left w:sz="8" w:val="single" w:color="A7DCE3"/>
              <w:bottom w:sz="8" w:val="single" w:color="A7DCE3"/>
              <w:right w:sz="8" w:val="single" w:color="A7DCE3"/>
            </w:tcBorders>
          </w:tcPr>
          <w:p>
            <w:pPr>
              <w:spacing w:before="100" w:after="100" w:line="240" w:lineRule="auto"/>
            </w:pPr>
            <w:r>
              <w:rPr>
                <w:color w:val="1F2937"/>
                <w:sz w:val="20"/>
              </w:rPr>
              <w:t>This guide summarizes AI SL and AI HL expectations, routines, topic priorities, assessment strategy, and final-review steps. It is an original support document, not a replacement for the official IB guide, formula booklet, subject reports, or exam papers.</w:t>
            </w:r>
          </w:p>
        </w:tc>
      </w:tr>
    </w:tbl>
    <w:p/>
    <w:p>
      <w:pPr>
        <w:pStyle w:val="ListBullet"/>
        <w:spacing w:before="0" w:after="60" w:line="240" w:lineRule="auto"/>
      </w:pPr>
      <w:r>
        <w:t>Built for both teacher planning and student self-study.</w:t>
      </w:r>
    </w:p>
    <w:p>
      <w:pPr>
        <w:pStyle w:val="ListBullet"/>
        <w:spacing w:before="0" w:after="60" w:line="240" w:lineRule="auto"/>
      </w:pPr>
      <w:r>
        <w:t>Supports the current AI course structure and includes a transition map for the public 2029 subject brief.</w:t>
      </w:r>
    </w:p>
    <w:p>
      <w:pPr>
        <w:pStyle w:val="ListBullet"/>
        <w:spacing w:before="0" w:after="60" w:line="240" w:lineRule="auto"/>
      </w:pPr>
      <w:r>
        <w:t>Use alongside the official IB guide, formula booklet, markschemes, and school-specific deadlines.</w:t>
      </w:r>
    </w:p>
    <w:p>
      <w:r>
        <w:br w:type="page"/>
      </w:r>
    </w:p>
    <w:p>
      <w:pPr>
        <w:pStyle w:val="Heading1"/>
        <w:spacing w:before="120" w:after="120" w:line="240" w:lineRule="auto"/>
      </w:pPr>
      <w:r>
        <w:t>1. Course orientation</w:t>
      </w:r>
    </w:p>
    <w:p>
      <w:pPr>
        <w:spacing w:before="0" w:after="80" w:line="240" w:lineRule="auto"/>
      </w:pPr>
      <w:r>
        <w:t>Mathematics: Applications and Interpretation emphasizes modelling, statistics, technology, interpretation, and the use of mathematics in realistic contexts. Students are expected to communicate reasoning clearly, choose appropriate tools, interpret results, and critique assumptions.</w:t>
      </w:r>
    </w:p>
    <w:p>
      <w:pPr>
        <w:spacing w:before="0" w:after="80" w:line="240" w:lineRule="auto"/>
      </w:pPr>
      <w:r>
        <w:t>Teachers should confirm the exact syllabus, assessment route, and school calendar for the cohort. This packet includes both the current topic map and the public 2029 transition structure because schools may be planning across two syllabus cycles.</w:t>
      </w:r>
    </w:p>
    <w:tbl>
      <w:tblPr>
        <w:tblW w:type="auto" w:w="0"/>
        <w:tblLook w:firstColumn="1" w:firstRow="1" w:lastColumn="0" w:lastRow="0" w:noHBand="0" w:noVBand="1" w:val="04A0"/>
      </w:tblPr>
      <w:tblGrid>
        <w:gridCol w:w="10512"/>
      </w:tblGrid>
      <w:tr>
        <w:tc>
          <w:tcPr>
            <w:tcW w:type="dxa" w:w="10512"/>
            <w:shd w:fill="E6F4F7"/>
            <w:tcBorders>
              <w:top w:sz="6" w:val="single" w:color="B7CBD5"/>
              <w:left w:sz="6" w:val="single" w:color="B7CBD5"/>
              <w:bottom w:sz="6" w:val="single" w:color="B7CBD5"/>
              <w:right w:sz="6" w:val="single" w:color="B7CBD5"/>
            </w:tcBorders>
          </w:tcPr>
          <w:p>
            <w:pPr>
              <w:spacing w:before="80" w:after="80" w:line="240" w:lineRule="auto"/>
            </w:pPr>
            <w:r>
              <w:rPr>
                <w:b/>
                <w:color w:val="0B3954"/>
                <w:sz w:val="21"/>
              </w:rPr>
              <w:t>Teacher/student promise</w:t>
            </w:r>
            <w:r>
              <w:br/>
              <w:t>Every unit should answer three questions: What is the mathematics? What real situation does it model? What does the result mean, and what assumptions limit it?</w:t>
            </w:r>
          </w:p>
        </w:tc>
      </w:tr>
    </w:tbl>
    <w:p/>
    <w:p>
      <w:pPr>
        <w:pStyle w:val="Heading2"/>
        <w:spacing w:before="80" w:after="60" w:line="240" w:lineRule="auto"/>
      </w:pPr>
      <w:r>
        <w:t>SL and HL at a glance</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1008"/>
            <w:shd w:fill="0B3954"/>
            <w:vAlign w:val="center"/>
          </w:tcPr>
          <w:p>
            <w:pPr>
              <w:spacing w:before="0" w:after="20" w:line="240" w:lineRule="auto"/>
            </w:pPr>
            <w:r>
              <w:rPr>
                <w:b/>
                <w:color w:val="FFFFFF"/>
                <w:sz w:val="17"/>
              </w:rPr>
              <w:t>Course</w:t>
            </w:r>
          </w:p>
        </w:tc>
        <w:tc>
          <w:tcPr>
            <w:tcW w:type="dxa" w:w="1728"/>
            <w:shd w:fill="0B3954"/>
            <w:vAlign w:val="center"/>
          </w:tcPr>
          <w:p>
            <w:pPr>
              <w:spacing w:before="0" w:after="20" w:line="240" w:lineRule="auto"/>
            </w:pPr>
            <w:r>
              <w:rPr>
                <w:b/>
                <w:color w:val="FFFFFF"/>
                <w:sz w:val="17"/>
              </w:rPr>
              <w:t>Recommended hours</w:t>
            </w:r>
          </w:p>
        </w:tc>
        <w:tc>
          <w:tcPr>
            <w:tcW w:type="dxa" w:w="2736"/>
            <w:shd w:fill="0B3954"/>
            <w:vAlign w:val="center"/>
          </w:tcPr>
          <w:p>
            <w:pPr>
              <w:spacing w:before="0" w:after="20" w:line="240" w:lineRule="auto"/>
            </w:pPr>
            <w:r>
              <w:rPr>
                <w:b/>
                <w:color w:val="FFFFFF"/>
                <w:sz w:val="17"/>
              </w:rPr>
              <w:t>Assessment shape</w:t>
            </w:r>
          </w:p>
        </w:tc>
        <w:tc>
          <w:tcPr>
            <w:tcW w:type="dxa" w:w="4464"/>
            <w:shd w:fill="0B3954"/>
            <w:vAlign w:val="center"/>
          </w:tcPr>
          <w:p>
            <w:pPr>
              <w:spacing w:before="0" w:after="20" w:line="240" w:lineRule="auto"/>
            </w:pPr>
            <w:r>
              <w:rPr>
                <w:b/>
                <w:color w:val="FFFFFF"/>
                <w:sz w:val="17"/>
              </w:rPr>
              <w:t>Learning emphasis</w:t>
            </w:r>
          </w:p>
        </w:tc>
      </w:tr>
      <w:tr>
        <w:tc>
          <w:tcPr>
            <w:tcW w:type="dxa" w:w="1008"/>
            <w:vAlign w:val="center"/>
          </w:tcPr>
          <w:p>
            <w:pPr>
              <w:spacing w:before="0" w:after="20" w:line="240" w:lineRule="auto"/>
            </w:pPr>
            <w:r>
              <w:rPr>
                <w:rFonts w:ascii="Arial" w:hAnsi="Arial" w:eastAsia="Arial"/>
                <w:color w:val="1F2937"/>
                <w:sz w:val="17"/>
              </w:rPr>
              <w:t>SL</w:t>
            </w:r>
          </w:p>
        </w:tc>
        <w:tc>
          <w:tcPr>
            <w:tcW w:type="dxa" w:w="1728"/>
            <w:vAlign w:val="center"/>
          </w:tcPr>
          <w:p>
            <w:pPr>
              <w:spacing w:before="0" w:after="20" w:line="240" w:lineRule="auto"/>
            </w:pPr>
            <w:r>
              <w:rPr>
                <w:rFonts w:ascii="Arial" w:hAnsi="Arial" w:eastAsia="Arial"/>
                <w:color w:val="1F2937"/>
                <w:sz w:val="17"/>
              </w:rPr>
              <w:t>150 teaching hours</w:t>
            </w:r>
          </w:p>
        </w:tc>
        <w:tc>
          <w:tcPr>
            <w:tcW w:type="dxa" w:w="2736"/>
            <w:vAlign w:val="center"/>
          </w:tcPr>
          <w:p>
            <w:pPr>
              <w:spacing w:before="0" w:after="20" w:line="240" w:lineRule="auto"/>
            </w:pPr>
            <w:r>
              <w:rPr>
                <w:rFonts w:ascii="Arial" w:hAnsi="Arial" w:eastAsia="Arial"/>
                <w:color w:val="1F2937"/>
                <w:sz w:val="17"/>
              </w:rPr>
              <w:t>Paper 1 + Paper 2; mathematical exploration</w:t>
            </w:r>
          </w:p>
        </w:tc>
        <w:tc>
          <w:tcPr>
            <w:tcW w:type="dxa" w:w="4464"/>
            <w:vAlign w:val="center"/>
          </w:tcPr>
          <w:p>
            <w:pPr>
              <w:spacing w:before="0" w:after="20" w:line="240" w:lineRule="auto"/>
            </w:pPr>
            <w:r>
              <w:rPr>
                <w:rFonts w:ascii="Arial" w:hAnsi="Arial" w:eastAsia="Arial"/>
                <w:color w:val="1F2937"/>
                <w:sz w:val="17"/>
              </w:rPr>
              <w:t>Strong modelling, technology use, statistics/probability, functions, geometry, calculus at standard level.</w:t>
            </w:r>
          </w:p>
        </w:tc>
      </w:tr>
      <w:tr>
        <w:tc>
          <w:tcPr>
            <w:tcW w:type="dxa" w:w="1008"/>
            <w:vAlign w:val="center"/>
            <w:shd w:fill="F8FAFC"/>
          </w:tcPr>
          <w:p>
            <w:pPr>
              <w:spacing w:before="0" w:after="20" w:line="240" w:lineRule="auto"/>
            </w:pPr>
            <w:r>
              <w:rPr>
                <w:rFonts w:ascii="Arial" w:hAnsi="Arial" w:eastAsia="Arial"/>
                <w:color w:val="1F2937"/>
                <w:sz w:val="17"/>
              </w:rPr>
              <w:t>HL</w:t>
            </w:r>
          </w:p>
        </w:tc>
        <w:tc>
          <w:tcPr>
            <w:tcW w:type="dxa" w:w="1728"/>
            <w:vAlign w:val="center"/>
            <w:shd w:fill="F8FAFC"/>
          </w:tcPr>
          <w:p>
            <w:pPr>
              <w:spacing w:before="0" w:after="20" w:line="240" w:lineRule="auto"/>
            </w:pPr>
            <w:r>
              <w:rPr>
                <w:rFonts w:ascii="Arial" w:hAnsi="Arial" w:eastAsia="Arial"/>
                <w:color w:val="1F2937"/>
                <w:sz w:val="17"/>
              </w:rPr>
              <w:t>240 teaching hours</w:t>
            </w:r>
          </w:p>
        </w:tc>
        <w:tc>
          <w:tcPr>
            <w:tcW w:type="dxa" w:w="2736"/>
            <w:vAlign w:val="center"/>
            <w:shd w:fill="F8FAFC"/>
          </w:tcPr>
          <w:p>
            <w:pPr>
              <w:spacing w:before="0" w:after="20" w:line="240" w:lineRule="auto"/>
            </w:pPr>
            <w:r>
              <w:rPr>
                <w:rFonts w:ascii="Arial" w:hAnsi="Arial" w:eastAsia="Arial"/>
                <w:color w:val="1F2937"/>
                <w:sz w:val="17"/>
              </w:rPr>
              <w:t>Paper 1 + Paper 2 + Paper 3; mathematical exploration</w:t>
            </w:r>
          </w:p>
        </w:tc>
        <w:tc>
          <w:tcPr>
            <w:tcW w:type="dxa" w:w="4464"/>
            <w:vAlign w:val="center"/>
            <w:shd w:fill="F8FAFC"/>
          </w:tcPr>
          <w:p>
            <w:pPr>
              <w:spacing w:before="0" w:after="20" w:line="240" w:lineRule="auto"/>
            </w:pPr>
            <w:r>
              <w:rPr>
                <w:rFonts w:ascii="Arial" w:hAnsi="Arial" w:eastAsia="Arial"/>
                <w:color w:val="1F2937"/>
                <w:sz w:val="17"/>
              </w:rPr>
              <w:t>All SL content plus deeper algebra, functions, geometry/networks, statistics, calculus, and integrated inquiry.</w:t>
            </w:r>
          </w:p>
        </w:tc>
      </w:tr>
    </w:tbl>
    <w:p/>
    <w:p>
      <w:pPr>
        <w:pStyle w:val="Heading2"/>
        <w:spacing w:before="80" w:after="60" w:line="240" w:lineRule="auto"/>
      </w:pPr>
      <w:r>
        <w:t>Assessment structure snapshot</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1800"/>
            <w:shd w:fill="0E9AA7"/>
            <w:vAlign w:val="center"/>
          </w:tcPr>
          <w:p>
            <w:pPr>
              <w:spacing w:before="0" w:after="20" w:line="240" w:lineRule="auto"/>
            </w:pPr>
            <w:r>
              <w:rPr>
                <w:b/>
                <w:color w:val="FFFFFF"/>
                <w:sz w:val="16"/>
              </w:rPr>
              <w:t>Route</w:t>
            </w:r>
          </w:p>
        </w:tc>
        <w:tc>
          <w:tcPr>
            <w:tcW w:type="dxa" w:w="3456"/>
            <w:shd w:fill="0E9AA7"/>
            <w:vAlign w:val="center"/>
          </w:tcPr>
          <w:p>
            <w:pPr>
              <w:spacing w:before="0" w:after="20" w:line="240" w:lineRule="auto"/>
            </w:pPr>
            <w:r>
              <w:rPr>
                <w:b/>
                <w:color w:val="FFFFFF"/>
                <w:sz w:val="16"/>
              </w:rPr>
              <w:t>External assessment</w:t>
            </w:r>
          </w:p>
        </w:tc>
        <w:tc>
          <w:tcPr>
            <w:tcW w:type="dxa" w:w="2160"/>
            <w:shd w:fill="0E9AA7"/>
            <w:vAlign w:val="center"/>
          </w:tcPr>
          <w:p>
            <w:pPr>
              <w:spacing w:before="0" w:after="20" w:line="240" w:lineRule="auto"/>
            </w:pPr>
            <w:r>
              <w:rPr>
                <w:b/>
                <w:color w:val="FFFFFF"/>
                <w:sz w:val="16"/>
              </w:rPr>
              <w:t>Internal assessment</w:t>
            </w:r>
          </w:p>
        </w:tc>
        <w:tc>
          <w:tcPr>
            <w:tcW w:type="dxa" w:w="2736"/>
            <w:shd w:fill="0E9AA7"/>
            <w:vAlign w:val="center"/>
          </w:tcPr>
          <w:p>
            <w:pPr>
              <w:spacing w:before="0" w:after="20" w:line="240" w:lineRule="auto"/>
            </w:pPr>
            <w:r>
              <w:rPr>
                <w:b/>
                <w:color w:val="FFFFFF"/>
                <w:sz w:val="16"/>
              </w:rPr>
              <w:t>Planning note</w:t>
            </w:r>
          </w:p>
        </w:tc>
      </w:tr>
      <w:tr>
        <w:tc>
          <w:tcPr>
            <w:tcW w:type="dxa" w:w="1800"/>
            <w:vAlign w:val="center"/>
          </w:tcPr>
          <w:p>
            <w:pPr>
              <w:spacing w:before="0" w:after="20" w:line="240" w:lineRule="auto"/>
            </w:pPr>
            <w:r>
              <w:rPr>
                <w:rFonts w:ascii="Arial" w:hAnsi="Arial" w:eastAsia="Arial"/>
                <w:color w:val="1F2937"/>
                <w:sz w:val="16"/>
              </w:rPr>
              <w:t>Current AI SL</w:t>
            </w:r>
          </w:p>
        </w:tc>
        <w:tc>
          <w:tcPr>
            <w:tcW w:type="dxa" w:w="3456"/>
            <w:vAlign w:val="center"/>
          </w:tcPr>
          <w:p>
            <w:pPr>
              <w:spacing w:before="0" w:after="20" w:line="240" w:lineRule="auto"/>
            </w:pPr>
            <w:r>
              <w:rPr>
                <w:rFonts w:ascii="Arial" w:hAnsi="Arial" w:eastAsia="Arial"/>
                <w:color w:val="1F2937"/>
                <w:sz w:val="16"/>
              </w:rPr>
              <w:t>Paper 1: 1 h 30 min, 40%; Paper 2: 1 h 30 min, 40%</w:t>
            </w:r>
          </w:p>
        </w:tc>
        <w:tc>
          <w:tcPr>
            <w:tcW w:type="dxa" w:w="2160"/>
            <w:vAlign w:val="center"/>
          </w:tcPr>
          <w:p>
            <w:pPr>
              <w:spacing w:before="0" w:after="20" w:line="240" w:lineRule="auto"/>
            </w:pPr>
            <w:r>
              <w:rPr>
                <w:rFonts w:ascii="Arial" w:hAnsi="Arial" w:eastAsia="Arial"/>
                <w:color w:val="1F2937"/>
                <w:sz w:val="16"/>
              </w:rPr>
              <w:t>Mathematical exploration: 20%</w:t>
            </w:r>
          </w:p>
        </w:tc>
        <w:tc>
          <w:tcPr>
            <w:tcW w:type="dxa" w:w="2736"/>
            <w:vAlign w:val="center"/>
          </w:tcPr>
          <w:p>
            <w:pPr>
              <w:spacing w:before="0" w:after="20" w:line="240" w:lineRule="auto"/>
            </w:pPr>
            <w:r>
              <w:rPr>
                <w:rFonts w:ascii="Arial" w:hAnsi="Arial" w:eastAsia="Arial"/>
                <w:color w:val="1F2937"/>
                <w:sz w:val="16"/>
              </w:rPr>
              <w:t>Check official guide for permitted technology and any school deadline rules.</w:t>
            </w:r>
          </w:p>
        </w:tc>
      </w:tr>
      <w:tr>
        <w:tc>
          <w:tcPr>
            <w:tcW w:type="dxa" w:w="1800"/>
            <w:vAlign w:val="center"/>
            <w:shd w:fill="F8FAFC"/>
          </w:tcPr>
          <w:p>
            <w:pPr>
              <w:spacing w:before="0" w:after="20" w:line="240" w:lineRule="auto"/>
            </w:pPr>
            <w:r>
              <w:rPr>
                <w:rFonts w:ascii="Arial" w:hAnsi="Arial" w:eastAsia="Arial"/>
                <w:color w:val="1F2937"/>
                <w:sz w:val="16"/>
              </w:rPr>
              <w:t>Current AI HL</w:t>
            </w:r>
          </w:p>
        </w:tc>
        <w:tc>
          <w:tcPr>
            <w:tcW w:type="dxa" w:w="3456"/>
            <w:vAlign w:val="center"/>
            <w:shd w:fill="F8FAFC"/>
          </w:tcPr>
          <w:p>
            <w:pPr>
              <w:spacing w:before="0" w:after="20" w:line="240" w:lineRule="auto"/>
            </w:pPr>
            <w:r>
              <w:rPr>
                <w:rFonts w:ascii="Arial" w:hAnsi="Arial" w:eastAsia="Arial"/>
                <w:color w:val="1F2937"/>
                <w:sz w:val="16"/>
              </w:rPr>
              <w:t>Paper 1: 2 h, 30%; Paper 2: 2 h, 30%; Paper 3: 1 h, 20%</w:t>
            </w:r>
          </w:p>
        </w:tc>
        <w:tc>
          <w:tcPr>
            <w:tcW w:type="dxa" w:w="2160"/>
            <w:vAlign w:val="center"/>
            <w:shd w:fill="F8FAFC"/>
          </w:tcPr>
          <w:p>
            <w:pPr>
              <w:spacing w:before="0" w:after="20" w:line="240" w:lineRule="auto"/>
            </w:pPr>
            <w:r>
              <w:rPr>
                <w:rFonts w:ascii="Arial" w:hAnsi="Arial" w:eastAsia="Arial"/>
                <w:color w:val="1F2937"/>
                <w:sz w:val="16"/>
              </w:rPr>
              <w:t>Mathematical exploration: 20%</w:t>
            </w:r>
          </w:p>
        </w:tc>
        <w:tc>
          <w:tcPr>
            <w:tcW w:type="dxa" w:w="2736"/>
            <w:vAlign w:val="center"/>
            <w:shd w:fill="F8FAFC"/>
          </w:tcPr>
          <w:p>
            <w:pPr>
              <w:spacing w:before="0" w:after="20" w:line="240" w:lineRule="auto"/>
            </w:pPr>
            <w:r>
              <w:rPr>
                <w:rFonts w:ascii="Arial" w:hAnsi="Arial" w:eastAsia="Arial"/>
                <w:color w:val="1F2937"/>
                <w:sz w:val="16"/>
              </w:rPr>
              <w:t>Paper 3 rewards sustained reasoning, modelling, and connected problem solving.</w:t>
            </w:r>
          </w:p>
        </w:tc>
      </w:tr>
      <w:tr>
        <w:tc>
          <w:tcPr>
            <w:tcW w:type="dxa" w:w="1800"/>
            <w:vAlign w:val="center"/>
          </w:tcPr>
          <w:p>
            <w:pPr>
              <w:spacing w:before="0" w:after="20" w:line="240" w:lineRule="auto"/>
            </w:pPr>
            <w:r>
              <w:rPr>
                <w:rFonts w:ascii="Arial" w:hAnsi="Arial" w:eastAsia="Arial"/>
                <w:color w:val="1F2937"/>
                <w:sz w:val="16"/>
              </w:rPr>
              <w:t>Public 2029 AI SL brief</w:t>
            </w:r>
          </w:p>
        </w:tc>
        <w:tc>
          <w:tcPr>
            <w:tcW w:type="dxa" w:w="3456"/>
            <w:vAlign w:val="center"/>
          </w:tcPr>
          <w:p>
            <w:pPr>
              <w:spacing w:before="0" w:after="20" w:line="240" w:lineRule="auto"/>
            </w:pPr>
            <w:r>
              <w:rPr>
                <w:rFonts w:ascii="Arial" w:hAnsi="Arial" w:eastAsia="Arial"/>
                <w:color w:val="1F2937"/>
                <w:sz w:val="16"/>
              </w:rPr>
              <w:t>Paper 1: 1 h 30 min, 40%; Paper 2: 1 h 30 min, 40%</w:t>
            </w:r>
          </w:p>
        </w:tc>
        <w:tc>
          <w:tcPr>
            <w:tcW w:type="dxa" w:w="2160"/>
            <w:vAlign w:val="center"/>
          </w:tcPr>
          <w:p>
            <w:pPr>
              <w:spacing w:before="0" w:after="20" w:line="240" w:lineRule="auto"/>
            </w:pPr>
            <w:r>
              <w:rPr>
                <w:rFonts w:ascii="Arial" w:hAnsi="Arial" w:eastAsia="Arial"/>
                <w:color w:val="1F2937"/>
                <w:sz w:val="16"/>
              </w:rPr>
              <w:t>Mathematical exploration: 20%</w:t>
            </w:r>
          </w:p>
        </w:tc>
        <w:tc>
          <w:tcPr>
            <w:tcW w:type="dxa" w:w="2736"/>
            <w:vAlign w:val="center"/>
          </w:tcPr>
          <w:p>
            <w:pPr>
              <w:spacing w:before="0" w:after="20" w:line="240" w:lineRule="auto"/>
            </w:pPr>
            <w:r>
              <w:rPr>
                <w:rFonts w:ascii="Arial" w:hAnsi="Arial" w:eastAsia="Arial"/>
                <w:color w:val="1F2937"/>
                <w:sz w:val="16"/>
              </w:rPr>
              <w:t>Public brief uses topic groups A-E and revised IA criteria labels.</w:t>
            </w:r>
          </w:p>
        </w:tc>
      </w:tr>
      <w:tr>
        <w:tc>
          <w:tcPr>
            <w:tcW w:type="dxa" w:w="1800"/>
            <w:vAlign w:val="center"/>
            <w:shd w:fill="F8FAFC"/>
          </w:tcPr>
          <w:p>
            <w:pPr>
              <w:spacing w:before="0" w:after="20" w:line="240" w:lineRule="auto"/>
            </w:pPr>
            <w:r>
              <w:rPr>
                <w:rFonts w:ascii="Arial" w:hAnsi="Arial" w:eastAsia="Arial"/>
                <w:color w:val="1F2937"/>
                <w:sz w:val="16"/>
              </w:rPr>
              <w:t>Public 2029 AI HL brief</w:t>
            </w:r>
          </w:p>
        </w:tc>
        <w:tc>
          <w:tcPr>
            <w:tcW w:type="dxa" w:w="3456"/>
            <w:vAlign w:val="center"/>
            <w:shd w:fill="F8FAFC"/>
          </w:tcPr>
          <w:p>
            <w:pPr>
              <w:spacing w:before="0" w:after="20" w:line="240" w:lineRule="auto"/>
            </w:pPr>
            <w:r>
              <w:rPr>
                <w:rFonts w:ascii="Arial" w:hAnsi="Arial" w:eastAsia="Arial"/>
                <w:color w:val="1F2937"/>
                <w:sz w:val="16"/>
              </w:rPr>
              <w:t>Paper 1: 2 h, 30%; Paper 2: 2 h, 30%; Paper 3: 1 h, 20%</w:t>
            </w:r>
          </w:p>
        </w:tc>
        <w:tc>
          <w:tcPr>
            <w:tcW w:type="dxa" w:w="2160"/>
            <w:vAlign w:val="center"/>
            <w:shd w:fill="F8FAFC"/>
          </w:tcPr>
          <w:p>
            <w:pPr>
              <w:spacing w:before="0" w:after="20" w:line="240" w:lineRule="auto"/>
            </w:pPr>
            <w:r>
              <w:rPr>
                <w:rFonts w:ascii="Arial" w:hAnsi="Arial" w:eastAsia="Arial"/>
                <w:color w:val="1F2937"/>
                <w:sz w:val="16"/>
              </w:rPr>
              <w:t>Mathematical exploration: 20%</w:t>
            </w:r>
          </w:p>
        </w:tc>
        <w:tc>
          <w:tcPr>
            <w:tcW w:type="dxa" w:w="2736"/>
            <w:vAlign w:val="center"/>
            <w:shd w:fill="F8FAFC"/>
          </w:tcPr>
          <w:p>
            <w:pPr>
              <w:spacing w:before="0" w:after="20" w:line="240" w:lineRule="auto"/>
            </w:pPr>
            <w:r>
              <w:rPr>
                <w:rFonts w:ascii="Arial" w:hAnsi="Arial" w:eastAsia="Arial"/>
                <w:color w:val="1F2937"/>
                <w:sz w:val="16"/>
              </w:rPr>
              <w:t>HL Paper 3 remains an extended problem-solving paper.</w:t>
            </w:r>
          </w:p>
        </w:tc>
      </w:tr>
    </w:tbl>
    <w:p/>
    <w:p>
      <w:pPr>
        <w:spacing w:before="0" w:after="80" w:line="240" w:lineRule="auto"/>
      </w:pPr>
      <w:r>
        <w:t>Use the workbook assessment sheet to translate these weights into your school gradebook. Grade boundaries vary by session; never use the sample tracker thresholds as official boundaries.</w:t>
      </w:r>
    </w:p>
    <w:p>
      <w:r>
        <w:br w:type="page"/>
      </w:r>
    </w:p>
    <w:p>
      <w:pPr>
        <w:pStyle w:val="Heading1"/>
        <w:spacing w:before="120" w:after="120" w:line="240" w:lineRule="auto"/>
      </w:pPr>
      <w:r>
        <w:t>2. Syllabus map and HL-only boundaries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1728"/>
            <w:shd w:fill="0B3954"/>
            <w:vAlign w:val="center"/>
          </w:tcPr>
          <w:p>
            <w:pPr>
              <w:spacing w:before="0" w:after="20" w:line="240" w:lineRule="auto"/>
            </w:pPr>
            <w:r>
              <w:rPr>
                <w:b/>
                <w:color w:val="FFFFFF"/>
                <w:sz w:val="15"/>
              </w:rPr>
              <w:t>Topic</w:t>
            </w:r>
          </w:p>
        </w:tc>
        <w:tc>
          <w:tcPr>
            <w:tcW w:type="dxa" w:w="1152"/>
            <w:shd w:fill="0B3954"/>
            <w:vAlign w:val="center"/>
          </w:tcPr>
          <w:p>
            <w:pPr>
              <w:spacing w:before="0" w:after="20" w:line="240" w:lineRule="auto"/>
            </w:pPr>
            <w:r>
              <w:rPr>
                <w:b/>
                <w:color w:val="FFFFFF"/>
                <w:sz w:val="15"/>
              </w:rPr>
              <w:t>Hours</w:t>
            </w:r>
          </w:p>
        </w:tc>
        <w:tc>
          <w:tcPr>
            <w:tcW w:type="dxa" w:w="3600"/>
            <w:shd w:fill="0B3954"/>
            <w:vAlign w:val="center"/>
          </w:tcPr>
          <w:p>
            <w:pPr>
              <w:spacing w:before="0" w:after="20" w:line="240" w:lineRule="auto"/>
            </w:pPr>
            <w:r>
              <w:rPr>
                <w:b/>
                <w:color w:val="FFFFFF"/>
                <w:sz w:val="15"/>
              </w:rPr>
              <w:t>SL core</w:t>
            </w:r>
          </w:p>
        </w:tc>
        <w:tc>
          <w:tcPr>
            <w:tcW w:type="dxa" w:w="3600"/>
            <w:shd w:fill="0B3954"/>
            <w:vAlign w:val="center"/>
          </w:tcPr>
          <w:p>
            <w:pPr>
              <w:spacing w:before="0" w:after="20" w:line="240" w:lineRule="auto"/>
            </w:pPr>
            <w:r>
              <w:rPr>
                <w:b/>
                <w:color w:val="FFFFFF"/>
                <w:sz w:val="15"/>
              </w:rPr>
              <w:t>HL extension</w:t>
            </w:r>
          </w:p>
        </w:tc>
      </w:tr>
      <w:tr>
        <w:tc>
          <w:tcPr>
            <w:tcW w:type="dxa" w:w="1728"/>
            <w:vAlign w:val="center"/>
          </w:tcPr>
          <w:p>
            <w:pPr>
              <w:spacing w:before="0" w:after="20" w:line="240" w:lineRule="auto"/>
            </w:pPr>
            <w:r>
              <w:rPr>
                <w:rFonts w:ascii="Arial" w:hAnsi="Arial" w:eastAsia="Arial"/>
                <w:color w:val="1F2937"/>
                <w:sz w:val="15"/>
              </w:rPr>
              <w:t>Topic 1: Number and algebra</w:t>
            </w:r>
          </w:p>
        </w:tc>
        <w:tc>
          <w:tcPr>
            <w:tcW w:type="dxa" w:w="1152"/>
            <w:vAlign w:val="center"/>
          </w:tcPr>
          <w:p>
            <w:pPr>
              <w:spacing w:before="0" w:after="20" w:line="240" w:lineRule="auto"/>
            </w:pPr>
            <w:r>
              <w:rPr>
                <w:rFonts w:ascii="Arial" w:hAnsi="Arial" w:eastAsia="Arial"/>
                <w:color w:val="1F2937"/>
                <w:sz w:val="15"/>
              </w:rPr>
              <w:t>SL 16 h / HL 29 h</w:t>
            </w:r>
          </w:p>
        </w:tc>
        <w:tc>
          <w:tcPr>
            <w:tcW w:type="dxa" w:w="3600"/>
            <w:vAlign w:val="center"/>
          </w:tcPr>
          <w:p>
            <w:pPr>
              <w:spacing w:before="0" w:after="20" w:line="240" w:lineRule="auto"/>
            </w:pPr>
            <w:r>
              <w:rPr>
                <w:rFonts w:ascii="Arial" w:hAnsi="Arial" w:eastAsia="Arial"/>
                <w:color w:val="1F2937"/>
                <w:sz w:val="15"/>
              </w:rPr>
              <w:t>Scientific notation; approximation; arithmetic/geometric sequences and series; financial mathematics; exponentials/logarithms; technology to solve equations.</w:t>
            </w:r>
          </w:p>
        </w:tc>
        <w:tc>
          <w:tcPr>
            <w:tcW w:type="dxa" w:w="3600"/>
            <w:vAlign w:val="center"/>
          </w:tcPr>
          <w:p>
            <w:pPr>
              <w:spacing w:before="0" w:after="20" w:line="240" w:lineRule="auto"/>
            </w:pPr>
            <w:r>
              <w:rPr>
                <w:rFonts w:ascii="Arial" w:hAnsi="Arial" w:eastAsia="Arial"/>
                <w:color w:val="1F2937"/>
                <w:sz w:val="15"/>
              </w:rPr>
              <w:t>Laws of logarithms; rational exponents; infinite geometric series; complex numbers in Cartesian/polar/exponential forms; matrices, determinants, inverses; eigenvalues/eigenvectors.</w:t>
            </w:r>
          </w:p>
        </w:tc>
      </w:tr>
      <w:tr>
        <w:tc>
          <w:tcPr>
            <w:tcW w:type="dxa" w:w="1728"/>
            <w:vAlign w:val="center"/>
            <w:shd w:fill="F8FAFC"/>
          </w:tcPr>
          <w:p>
            <w:pPr>
              <w:spacing w:before="0" w:after="20" w:line="240" w:lineRule="auto"/>
            </w:pPr>
            <w:r>
              <w:rPr>
                <w:rFonts w:ascii="Arial" w:hAnsi="Arial" w:eastAsia="Arial"/>
                <w:color w:val="1F2937"/>
                <w:sz w:val="15"/>
              </w:rPr>
              <w:t>Topic 2: Functions</w:t>
            </w:r>
          </w:p>
        </w:tc>
        <w:tc>
          <w:tcPr>
            <w:tcW w:type="dxa" w:w="1152"/>
            <w:vAlign w:val="center"/>
            <w:shd w:fill="F8FAFC"/>
          </w:tcPr>
          <w:p>
            <w:pPr>
              <w:spacing w:before="0" w:after="20" w:line="240" w:lineRule="auto"/>
            </w:pPr>
            <w:r>
              <w:rPr>
                <w:rFonts w:ascii="Arial" w:hAnsi="Arial" w:eastAsia="Arial"/>
                <w:color w:val="1F2937"/>
                <w:sz w:val="15"/>
              </w:rPr>
              <w:t>SL 31 h / HL 42 h</w:t>
            </w:r>
          </w:p>
        </w:tc>
        <w:tc>
          <w:tcPr>
            <w:tcW w:type="dxa" w:w="3600"/>
            <w:vAlign w:val="center"/>
            <w:shd w:fill="F8FAFC"/>
          </w:tcPr>
          <w:p>
            <w:pPr>
              <w:spacing w:before="0" w:after="20" w:line="240" w:lineRule="auto"/>
            </w:pPr>
            <w:r>
              <w:rPr>
                <w:rFonts w:ascii="Arial" w:hAnsi="Arial" w:eastAsia="Arial"/>
                <w:color w:val="1F2937"/>
                <w:sz w:val="15"/>
              </w:rPr>
              <w:t>Function notation; graphs; key features; linear/quadratic/cubic/exponential/sinusoidal/direct/inverse variation; modelling cycle and parameter interpretation.</w:t>
            </w:r>
          </w:p>
        </w:tc>
        <w:tc>
          <w:tcPr>
            <w:tcW w:type="dxa" w:w="3600"/>
            <w:vAlign w:val="center"/>
            <w:shd w:fill="F8FAFC"/>
          </w:tcPr>
          <w:p>
            <w:pPr>
              <w:spacing w:before="0" w:after="20" w:line="240" w:lineRule="auto"/>
            </w:pPr>
            <w:r>
              <w:rPr>
                <w:rFonts w:ascii="Arial" w:hAnsi="Arial" w:eastAsia="Arial"/>
                <w:color w:val="1F2937"/>
                <w:sz w:val="15"/>
              </w:rPr>
              <w:t>Composite/inverse functions; transformations; richer models including natural log, logistic, sinusoidal with phase shift; log scaling and linearization.</w:t>
            </w:r>
          </w:p>
        </w:tc>
      </w:tr>
      <w:tr>
        <w:tc>
          <w:tcPr>
            <w:tcW w:type="dxa" w:w="1728"/>
            <w:vAlign w:val="center"/>
          </w:tcPr>
          <w:p>
            <w:pPr>
              <w:spacing w:before="0" w:after="20" w:line="240" w:lineRule="auto"/>
            </w:pPr>
            <w:r>
              <w:rPr>
                <w:rFonts w:ascii="Arial" w:hAnsi="Arial" w:eastAsia="Arial"/>
                <w:color w:val="1F2937"/>
                <w:sz w:val="15"/>
              </w:rPr>
              <w:t>Topic 3: Geometry and trigonometry</w:t>
            </w:r>
          </w:p>
        </w:tc>
        <w:tc>
          <w:tcPr>
            <w:tcW w:type="dxa" w:w="1152"/>
            <w:vAlign w:val="center"/>
          </w:tcPr>
          <w:p>
            <w:pPr>
              <w:spacing w:before="0" w:after="20" w:line="240" w:lineRule="auto"/>
            </w:pPr>
            <w:r>
              <w:rPr>
                <w:rFonts w:ascii="Arial" w:hAnsi="Arial" w:eastAsia="Arial"/>
                <w:color w:val="1F2937"/>
                <w:sz w:val="15"/>
              </w:rPr>
              <w:t>SL 18 h / HL 46 h</w:t>
            </w:r>
          </w:p>
        </w:tc>
        <w:tc>
          <w:tcPr>
            <w:tcW w:type="dxa" w:w="3600"/>
            <w:vAlign w:val="center"/>
          </w:tcPr>
          <w:p>
            <w:pPr>
              <w:spacing w:before="0" w:after="20" w:line="240" w:lineRule="auto"/>
            </w:pPr>
            <w:r>
              <w:rPr>
                <w:rFonts w:ascii="Arial" w:hAnsi="Arial" w:eastAsia="Arial"/>
                <w:color w:val="1F2937"/>
                <w:sz w:val="15"/>
              </w:rPr>
              <w:t>Coordinate geometry; Voronoi diagrams; trigonometric ratios; sine/cosine rules; area; 3D shapes; bearings; geographic contexts.</w:t>
            </w:r>
          </w:p>
        </w:tc>
        <w:tc>
          <w:tcPr>
            <w:tcW w:type="dxa" w:w="3600"/>
            <w:vAlign w:val="center"/>
          </w:tcPr>
          <w:p>
            <w:pPr>
              <w:spacing w:before="0" w:after="20" w:line="240" w:lineRule="auto"/>
            </w:pPr>
            <w:r>
              <w:rPr>
                <w:rFonts w:ascii="Arial" w:hAnsi="Arial" w:eastAsia="Arial"/>
                <w:color w:val="1F2937"/>
                <w:sz w:val="15"/>
              </w:rPr>
              <w:t>Radians; unit circle; matrix transformations/fractals; vectors and vector kinematics; scalar product; graph theory, adjacency matrices, tree/cycle algorithms, Chinese postman/TSP ideas.</w:t>
            </w:r>
          </w:p>
        </w:tc>
      </w:tr>
      <w:tr>
        <w:tc>
          <w:tcPr>
            <w:tcW w:type="dxa" w:w="1728"/>
            <w:vAlign w:val="center"/>
            <w:shd w:fill="F8FAFC"/>
          </w:tcPr>
          <w:p>
            <w:pPr>
              <w:spacing w:before="0" w:after="20" w:line="240" w:lineRule="auto"/>
            </w:pPr>
            <w:r>
              <w:rPr>
                <w:rFonts w:ascii="Arial" w:hAnsi="Arial" w:eastAsia="Arial"/>
                <w:color w:val="1F2937"/>
                <w:sz w:val="15"/>
              </w:rPr>
              <w:t>Topic 4: Statistics and probability</w:t>
            </w:r>
          </w:p>
        </w:tc>
        <w:tc>
          <w:tcPr>
            <w:tcW w:type="dxa" w:w="1152"/>
            <w:vAlign w:val="center"/>
            <w:shd w:fill="F8FAFC"/>
          </w:tcPr>
          <w:p>
            <w:pPr>
              <w:spacing w:before="0" w:after="20" w:line="240" w:lineRule="auto"/>
            </w:pPr>
            <w:r>
              <w:rPr>
                <w:rFonts w:ascii="Arial" w:hAnsi="Arial" w:eastAsia="Arial"/>
                <w:color w:val="1F2937"/>
                <w:sz w:val="15"/>
              </w:rPr>
              <w:t>SL 36 h / HL 52 h</w:t>
            </w:r>
          </w:p>
        </w:tc>
        <w:tc>
          <w:tcPr>
            <w:tcW w:type="dxa" w:w="3600"/>
            <w:vAlign w:val="center"/>
            <w:shd w:fill="F8FAFC"/>
          </w:tcPr>
          <w:p>
            <w:pPr>
              <w:spacing w:before="0" w:after="20" w:line="240" w:lineRule="auto"/>
            </w:pPr>
            <w:r>
              <w:rPr>
                <w:rFonts w:ascii="Arial" w:hAnsi="Arial" w:eastAsia="Arial"/>
                <w:color w:val="1F2937"/>
                <w:sz w:val="15"/>
              </w:rPr>
              <w:t>Data displays; descriptive statistics; correlation/regression; Spearman; probability rules; discrete/normal/binomial distributions; hypotheses and chi-square tests.</w:t>
            </w:r>
          </w:p>
        </w:tc>
        <w:tc>
          <w:tcPr>
            <w:tcW w:type="dxa" w:w="3600"/>
            <w:vAlign w:val="center"/>
            <w:shd w:fill="F8FAFC"/>
          </w:tcPr>
          <w:p>
            <w:pPr>
              <w:spacing w:before="0" w:after="20" w:line="240" w:lineRule="auto"/>
            </w:pPr>
            <w:r>
              <w:rPr>
                <w:rFonts w:ascii="Arial" w:hAnsi="Arial" w:eastAsia="Arial"/>
                <w:color w:val="1F2937"/>
                <w:sz w:val="15"/>
              </w:rPr>
              <w:t>Data collection design; nonlinear regression and R²; linear transformations of random variables; CLT; confidence intervals; Poisson; additional hypothesis tests; Markov chains.</w:t>
            </w:r>
          </w:p>
        </w:tc>
      </w:tr>
      <w:tr>
        <w:tc>
          <w:tcPr>
            <w:tcW w:type="dxa" w:w="1728"/>
            <w:vAlign w:val="center"/>
          </w:tcPr>
          <w:p>
            <w:pPr>
              <w:spacing w:before="0" w:after="20" w:line="240" w:lineRule="auto"/>
            </w:pPr>
            <w:r>
              <w:rPr>
                <w:rFonts w:ascii="Arial" w:hAnsi="Arial" w:eastAsia="Arial"/>
                <w:color w:val="1F2937"/>
                <w:sz w:val="15"/>
              </w:rPr>
              <w:t>Topic 5: Calculus</w:t>
            </w:r>
          </w:p>
        </w:tc>
        <w:tc>
          <w:tcPr>
            <w:tcW w:type="dxa" w:w="1152"/>
            <w:vAlign w:val="center"/>
          </w:tcPr>
          <w:p>
            <w:pPr>
              <w:spacing w:before="0" w:after="20" w:line="240" w:lineRule="auto"/>
            </w:pPr>
            <w:r>
              <w:rPr>
                <w:rFonts w:ascii="Arial" w:hAnsi="Arial" w:eastAsia="Arial"/>
                <w:color w:val="1F2937"/>
                <w:sz w:val="15"/>
              </w:rPr>
              <w:t>SL 19 h / HL 41 h</w:t>
            </w:r>
          </w:p>
        </w:tc>
        <w:tc>
          <w:tcPr>
            <w:tcW w:type="dxa" w:w="3600"/>
            <w:vAlign w:val="center"/>
          </w:tcPr>
          <w:p>
            <w:pPr>
              <w:spacing w:before="0" w:after="20" w:line="240" w:lineRule="auto"/>
            </w:pPr>
            <w:r>
              <w:rPr>
                <w:rFonts w:ascii="Arial" w:hAnsi="Arial" w:eastAsia="Arial"/>
                <w:color w:val="1F2937"/>
                <w:sz w:val="15"/>
              </w:rPr>
              <w:t>Limits conceptually; derivative as rate of change; simple derivative/integral rules; tangent/normal; optimization; area under curves; kinematics basics with technology.</w:t>
            </w:r>
          </w:p>
        </w:tc>
        <w:tc>
          <w:tcPr>
            <w:tcW w:type="dxa" w:w="3600"/>
            <w:vAlign w:val="center"/>
          </w:tcPr>
          <w:p>
            <w:pPr>
              <w:spacing w:before="0" w:after="20" w:line="240" w:lineRule="auto"/>
            </w:pPr>
            <w:r>
              <w:rPr>
                <w:rFonts w:ascii="Arial" w:hAnsi="Arial" w:eastAsia="Arial"/>
                <w:color w:val="1F2937"/>
                <w:sz w:val="15"/>
              </w:rPr>
              <w:t>Derivatives of trig/exponential/log functions; chain/product/quotient; second derivative; advanced integration; volumes of revolution; kinematics; differential equations; Euler method; phase portraits.</w:t>
            </w:r>
          </w:p>
        </w:tc>
      </w:tr>
      <w:tr>
        <w:tc>
          <w:tcPr>
            <w:tcW w:type="dxa" w:w="1728"/>
            <w:vAlign w:val="center"/>
            <w:shd w:fill="F8FAFC"/>
          </w:tcPr>
          <w:p>
            <w:pPr>
              <w:spacing w:before="0" w:after="20" w:line="240" w:lineRule="auto"/>
            </w:pPr>
            <w:r>
              <w:rPr>
                <w:rFonts w:ascii="Arial" w:hAnsi="Arial" w:eastAsia="Arial"/>
                <w:color w:val="1F2937"/>
                <w:sz w:val="15"/>
              </w:rPr>
              <w:t>Topic Toolkit/IA: Mathematical exploration and modelling</w:t>
            </w:r>
          </w:p>
        </w:tc>
        <w:tc>
          <w:tcPr>
            <w:tcW w:type="dxa" w:w="1152"/>
            <w:vAlign w:val="center"/>
            <w:shd w:fill="F8FAFC"/>
          </w:tcPr>
          <w:p>
            <w:pPr>
              <w:spacing w:before="0" w:after="20" w:line="240" w:lineRule="auto"/>
            </w:pPr>
            <w:r>
              <w:rPr>
                <w:rFonts w:ascii="Arial" w:hAnsi="Arial" w:eastAsia="Arial"/>
                <w:color w:val="1F2937"/>
                <w:sz w:val="15"/>
              </w:rPr>
              <w:t>SL 30 h / HL 30 h</w:t>
            </w:r>
          </w:p>
        </w:tc>
        <w:tc>
          <w:tcPr>
            <w:tcW w:type="dxa" w:w="3600"/>
            <w:vAlign w:val="center"/>
            <w:shd w:fill="F8FAFC"/>
          </w:tcPr>
          <w:p>
            <w:pPr>
              <w:spacing w:before="0" w:after="20" w:line="240" w:lineRule="auto"/>
            </w:pPr>
            <w:r>
              <w:rPr>
                <w:rFonts w:ascii="Arial" w:hAnsi="Arial" w:eastAsia="Arial"/>
                <w:color w:val="1F2937"/>
                <w:sz w:val="15"/>
              </w:rPr>
              <w:t>Inquiry question; data collection; assumptions; model building; technology; reflection; communication; ethics.</w:t>
            </w:r>
          </w:p>
        </w:tc>
        <w:tc>
          <w:tcPr>
            <w:tcW w:type="dxa" w:w="3600"/>
            <w:vAlign w:val="center"/>
            <w:shd w:fill="F8FAFC"/>
          </w:tcPr>
          <w:p>
            <w:pPr>
              <w:spacing w:before="0" w:after="20" w:line="240" w:lineRule="auto"/>
            </w:pPr>
            <w:r>
              <w:rPr>
                <w:rFonts w:ascii="Arial" w:hAnsi="Arial" w:eastAsia="Arial"/>
                <w:color w:val="1F2937"/>
                <w:sz w:val="15"/>
              </w:rPr>
              <w:t>HL students should use mathematics commensurate with HL depth but do not need to go beyond syllabus.</w:t>
            </w:r>
          </w:p>
        </w:tc>
      </w:tr>
    </w:tbl>
    <w:p/>
    <w:p>
      <w:pPr>
        <w:pStyle w:val="Heading2"/>
        <w:spacing w:before="80" w:after="60" w:line="240" w:lineRule="auto"/>
      </w:pPr>
      <w:r>
        <w:t>HL-only exclusions for SL students</w:t>
      </w:r>
    </w:p>
    <w:tbl>
      <w:tblPr>
        <w:tblStyle w:val="TableGrid"/>
        <w:tblW w:type="auto" w:w="0"/>
        <w:jc w:val="center"/>
        <w:tblLook w:firstColumn="1" w:firstRow="1" w:lastColumn="0" w:lastRow="0" w:noHBand="0" w:noVBand="1" w:val="04A0"/>
      </w:tblPr>
      <w:tblGrid>
        <w:gridCol w:w="3504"/>
        <w:gridCol w:w="3504"/>
        <w:gridCol w:w="3504"/>
      </w:tblGrid>
      <w:tr>
        <w:trPr>
          <w:tblHeader w:val="true"/>
        </w:trPr>
        <w:tc>
          <w:tcPr>
            <w:tcW w:type="dxa" w:w="1872"/>
            <w:shd w:fill="0E9AA7"/>
            <w:vAlign w:val="center"/>
          </w:tcPr>
          <w:p>
            <w:pPr>
              <w:spacing w:before="0" w:after="20" w:line="240" w:lineRule="auto"/>
            </w:pPr>
            <w:r>
              <w:rPr>
                <w:b/>
                <w:color w:val="FFFFFF"/>
                <w:sz w:val="15"/>
              </w:rPr>
              <w:t>Area</w:t>
            </w:r>
          </w:p>
        </w:tc>
        <w:tc>
          <w:tcPr>
            <w:tcW w:type="dxa" w:w="4752"/>
            <w:shd w:fill="0E9AA7"/>
            <w:vAlign w:val="center"/>
          </w:tcPr>
          <w:p>
            <w:pPr>
              <w:spacing w:before="0" w:after="20" w:line="240" w:lineRule="auto"/>
            </w:pPr>
            <w:r>
              <w:rPr>
                <w:b/>
                <w:color w:val="FFFFFF"/>
                <w:sz w:val="15"/>
              </w:rPr>
              <w:t>Not required at SL</w:t>
            </w:r>
          </w:p>
        </w:tc>
        <w:tc>
          <w:tcPr>
            <w:tcW w:type="dxa" w:w="3168"/>
            <w:shd w:fill="0E9AA7"/>
            <w:vAlign w:val="center"/>
          </w:tcPr>
          <w:p>
            <w:pPr>
              <w:spacing w:before="0" w:after="20" w:line="240" w:lineRule="auto"/>
            </w:pPr>
            <w:r>
              <w:rPr>
                <w:b/>
                <w:color w:val="FFFFFF"/>
                <w:sz w:val="15"/>
              </w:rPr>
              <w:t>SL boundary note</w:t>
            </w:r>
          </w:p>
        </w:tc>
      </w:tr>
      <w:tr>
        <w:tc>
          <w:tcPr>
            <w:tcW w:type="dxa" w:w="1872"/>
            <w:vAlign w:val="center"/>
          </w:tcPr>
          <w:p>
            <w:pPr>
              <w:spacing w:before="0" w:after="20" w:line="240" w:lineRule="auto"/>
            </w:pPr>
            <w:r>
              <w:rPr>
                <w:rFonts w:ascii="Arial" w:hAnsi="Arial" w:eastAsia="Arial"/>
                <w:color w:val="1F2937"/>
                <w:sz w:val="15"/>
              </w:rPr>
              <w:t>Topic 1 Number/algebra</w:t>
            </w:r>
          </w:p>
        </w:tc>
        <w:tc>
          <w:tcPr>
            <w:tcW w:type="dxa" w:w="4752"/>
            <w:vAlign w:val="center"/>
          </w:tcPr>
          <w:p>
            <w:pPr>
              <w:spacing w:before="0" w:after="20" w:line="240" w:lineRule="auto"/>
            </w:pPr>
            <w:r>
              <w:rPr>
                <w:rFonts w:ascii="Arial" w:hAnsi="Arial" w:eastAsia="Arial"/>
                <w:color w:val="1F2937"/>
                <w:sz w:val="15"/>
              </w:rPr>
              <w:t>SL students do not need AHL logarithm laws beyond introductory use, rational exponent manipulation at AHL depth, infinite geometric series, complex numbers, matrices, determinants/inverses, eigenvalues/eigenvectors.</w:t>
            </w:r>
          </w:p>
        </w:tc>
        <w:tc>
          <w:tcPr>
            <w:tcW w:type="dxa" w:w="3168"/>
            <w:vAlign w:val="center"/>
          </w:tcPr>
          <w:p>
            <w:pPr>
              <w:spacing w:before="0" w:after="20" w:line="240" w:lineRule="auto"/>
            </w:pPr>
            <w:r>
              <w:rPr>
                <w:rFonts w:ascii="Arial" w:hAnsi="Arial" w:eastAsia="Arial"/>
                <w:color w:val="1F2937"/>
                <w:sz w:val="15"/>
              </w:rPr>
              <w:t>SL may see contexts where technology solves equations, but not complex/linear-algebra theory.</w:t>
            </w:r>
          </w:p>
        </w:tc>
      </w:tr>
      <w:tr>
        <w:tc>
          <w:tcPr>
            <w:tcW w:type="dxa" w:w="1872"/>
            <w:vAlign w:val="center"/>
            <w:shd w:fill="F8FAFC"/>
          </w:tcPr>
          <w:p>
            <w:pPr>
              <w:spacing w:before="0" w:after="20" w:line="240" w:lineRule="auto"/>
            </w:pPr>
            <w:r>
              <w:rPr>
                <w:rFonts w:ascii="Arial" w:hAnsi="Arial" w:eastAsia="Arial"/>
                <w:color w:val="1F2937"/>
                <w:sz w:val="15"/>
              </w:rPr>
              <w:t>Topic 2 Functions</w:t>
            </w:r>
          </w:p>
        </w:tc>
        <w:tc>
          <w:tcPr>
            <w:tcW w:type="dxa" w:w="4752"/>
            <w:vAlign w:val="center"/>
            <w:shd w:fill="F8FAFC"/>
          </w:tcPr>
          <w:p>
            <w:pPr>
              <w:spacing w:before="0" w:after="20" w:line="240" w:lineRule="auto"/>
            </w:pPr>
            <w:r>
              <w:rPr>
                <w:rFonts w:ascii="Arial" w:hAnsi="Arial" w:eastAsia="Arial"/>
                <w:color w:val="1F2937"/>
                <w:sz w:val="15"/>
              </w:rPr>
              <w:t>SL excludes composite/inverse function formalism at AHL depth, full graph transformations, natural log/logistic/piecewise advanced models, log-linearization.</w:t>
            </w:r>
          </w:p>
        </w:tc>
        <w:tc>
          <w:tcPr>
            <w:tcW w:type="dxa" w:w="3168"/>
            <w:vAlign w:val="center"/>
            <w:shd w:fill="F8FAFC"/>
          </w:tcPr>
          <w:p>
            <w:pPr>
              <w:spacing w:before="0" w:after="20" w:line="240" w:lineRule="auto"/>
            </w:pPr>
            <w:r>
              <w:rPr>
                <w:rFonts w:ascii="Arial" w:hAnsi="Arial" w:eastAsia="Arial"/>
                <w:color w:val="1F2937"/>
                <w:sz w:val="15"/>
              </w:rPr>
              <w:t>SL still needs model choice and key features for specified models.</w:t>
            </w:r>
          </w:p>
        </w:tc>
      </w:tr>
      <w:tr>
        <w:tc>
          <w:tcPr>
            <w:tcW w:type="dxa" w:w="1872"/>
            <w:vAlign w:val="center"/>
          </w:tcPr>
          <w:p>
            <w:pPr>
              <w:spacing w:before="0" w:after="20" w:line="240" w:lineRule="auto"/>
            </w:pPr>
            <w:r>
              <w:rPr>
                <w:rFonts w:ascii="Arial" w:hAnsi="Arial" w:eastAsia="Arial"/>
                <w:color w:val="1F2937"/>
                <w:sz w:val="15"/>
              </w:rPr>
              <w:t>Topic 3 Geometry/trigonometry</w:t>
            </w:r>
          </w:p>
        </w:tc>
        <w:tc>
          <w:tcPr>
            <w:tcW w:type="dxa" w:w="4752"/>
            <w:vAlign w:val="center"/>
          </w:tcPr>
          <w:p>
            <w:pPr>
              <w:spacing w:before="0" w:after="20" w:line="240" w:lineRule="auto"/>
            </w:pPr>
            <w:r>
              <w:rPr>
                <w:rFonts w:ascii="Arial" w:hAnsi="Arial" w:eastAsia="Arial"/>
                <w:color w:val="1F2937"/>
                <w:sz w:val="15"/>
              </w:rPr>
              <w:t>SL excludes radians/unit circle depth, matrix transformations/fractals, vector lines/kinematics/scalar product, graph theory, adjacency matrices, algorithms.</w:t>
            </w:r>
          </w:p>
        </w:tc>
        <w:tc>
          <w:tcPr>
            <w:tcW w:type="dxa" w:w="3168"/>
            <w:vAlign w:val="center"/>
          </w:tcPr>
          <w:p>
            <w:pPr>
              <w:spacing w:before="0" w:after="20" w:line="240" w:lineRule="auto"/>
            </w:pPr>
            <w:r>
              <w:rPr>
                <w:rFonts w:ascii="Arial" w:hAnsi="Arial" w:eastAsia="Arial"/>
                <w:color w:val="1F2937"/>
                <w:sz w:val="15"/>
              </w:rPr>
              <w:t>SL may work with coordinate geometry, trigonometry, Voronoi/routing concepts at SL depth.</w:t>
            </w:r>
          </w:p>
        </w:tc>
      </w:tr>
      <w:tr>
        <w:tc>
          <w:tcPr>
            <w:tcW w:type="dxa" w:w="1872"/>
            <w:vAlign w:val="center"/>
            <w:shd w:fill="F8FAFC"/>
          </w:tcPr>
          <w:p>
            <w:pPr>
              <w:spacing w:before="0" w:after="20" w:line="240" w:lineRule="auto"/>
            </w:pPr>
            <w:r>
              <w:rPr>
                <w:rFonts w:ascii="Arial" w:hAnsi="Arial" w:eastAsia="Arial"/>
                <w:color w:val="1F2937"/>
                <w:sz w:val="15"/>
              </w:rPr>
              <w:t>Topic 4 Statistics/probability</w:t>
            </w:r>
          </w:p>
        </w:tc>
        <w:tc>
          <w:tcPr>
            <w:tcW w:type="dxa" w:w="4752"/>
            <w:vAlign w:val="center"/>
            <w:shd w:fill="F8FAFC"/>
          </w:tcPr>
          <w:p>
            <w:pPr>
              <w:spacing w:before="0" w:after="20" w:line="240" w:lineRule="auto"/>
            </w:pPr>
            <w:r>
              <w:rPr>
                <w:rFonts w:ascii="Arial" w:hAnsi="Arial" w:eastAsia="Arial"/>
                <w:color w:val="1F2937"/>
                <w:sz w:val="15"/>
              </w:rPr>
              <w:t>SL excludes nonlinear regression with R² at AHL depth, CLT and confidence intervals at AHL depth, Poisson, Markov chains, extended hypothesis testing.</w:t>
            </w:r>
          </w:p>
        </w:tc>
        <w:tc>
          <w:tcPr>
            <w:tcW w:type="dxa" w:w="3168"/>
            <w:vAlign w:val="center"/>
            <w:shd w:fill="F8FAFC"/>
          </w:tcPr>
          <w:p>
            <w:pPr>
              <w:spacing w:before="0" w:after="20" w:line="240" w:lineRule="auto"/>
            </w:pPr>
            <w:r>
              <w:rPr>
                <w:rFonts w:ascii="Arial" w:hAnsi="Arial" w:eastAsia="Arial"/>
                <w:color w:val="1F2937"/>
                <w:sz w:val="15"/>
              </w:rPr>
              <w:t>SL still needs robust interpretation of data, correlation/regression, distributions and tests specified for SL.</w:t>
            </w:r>
          </w:p>
        </w:tc>
      </w:tr>
      <w:tr>
        <w:tc>
          <w:tcPr>
            <w:tcW w:type="dxa" w:w="1872"/>
            <w:vAlign w:val="center"/>
          </w:tcPr>
          <w:p>
            <w:pPr>
              <w:spacing w:before="0" w:after="20" w:line="240" w:lineRule="auto"/>
            </w:pPr>
            <w:r>
              <w:rPr>
                <w:rFonts w:ascii="Arial" w:hAnsi="Arial" w:eastAsia="Arial"/>
                <w:color w:val="1F2937"/>
                <w:sz w:val="15"/>
              </w:rPr>
              <w:t>Topic 5 Calculus</w:t>
            </w:r>
          </w:p>
        </w:tc>
        <w:tc>
          <w:tcPr>
            <w:tcW w:type="dxa" w:w="4752"/>
            <w:vAlign w:val="center"/>
          </w:tcPr>
          <w:p>
            <w:pPr>
              <w:spacing w:before="0" w:after="20" w:line="240" w:lineRule="auto"/>
            </w:pPr>
            <w:r>
              <w:rPr>
                <w:rFonts w:ascii="Arial" w:hAnsi="Arial" w:eastAsia="Arial"/>
                <w:color w:val="1F2937"/>
                <w:sz w:val="15"/>
              </w:rPr>
              <w:t>SL excludes product/quotient/chain rules, trig/e/ln derivatives and integrals at AHL depth, second derivative testing, volumes of revolution, differential equations, Euler method and phase portraits.</w:t>
            </w:r>
          </w:p>
        </w:tc>
        <w:tc>
          <w:tcPr>
            <w:tcW w:type="dxa" w:w="3168"/>
            <w:vAlign w:val="center"/>
          </w:tcPr>
          <w:p>
            <w:pPr>
              <w:spacing w:before="0" w:after="20" w:line="240" w:lineRule="auto"/>
            </w:pPr>
            <w:r>
              <w:rPr>
                <w:rFonts w:ascii="Arial" w:hAnsi="Arial" w:eastAsia="Arial"/>
                <w:color w:val="1F2937"/>
                <w:sz w:val="15"/>
              </w:rPr>
              <w:t>SL still uses derivative/integral concepts, simple rules, technology, and contextual interpretation.</w:t>
            </w:r>
          </w:p>
        </w:tc>
      </w:tr>
    </w:tbl>
    <w:p/>
    <w:tbl>
      <w:tblPr>
        <w:tblW w:type="auto" w:w="0"/>
        <w:tblLook w:firstColumn="1" w:firstRow="1" w:lastColumn="0" w:lastRow="0" w:noHBand="0" w:noVBand="1" w:val="04A0"/>
      </w:tblPr>
      <w:tblGrid>
        <w:gridCol w:w="10512"/>
      </w:tblGrid>
      <w:tr>
        <w:tc>
          <w:tcPr>
            <w:tcW w:type="dxa" w:w="10512"/>
            <w:shd w:fill="F1F5F9"/>
            <w:tcBorders>
              <w:top w:sz="6" w:val="single" w:color="B7CBD5"/>
              <w:left w:sz="6" w:val="single" w:color="B7CBD5"/>
              <w:bottom w:sz="6" w:val="single" w:color="B7CBD5"/>
              <w:right w:sz="6" w:val="single" w:color="B7CBD5"/>
            </w:tcBorders>
          </w:tcPr>
          <w:p>
            <w:pPr>
              <w:spacing w:before="80" w:after="80" w:line="240" w:lineRule="auto"/>
            </w:pPr>
            <w:r>
              <w:rPr>
                <w:b/>
                <w:color w:val="0B3954"/>
                <w:sz w:val="21"/>
              </w:rPr>
              <w:t>How to use this section</w:t>
            </w:r>
            <w:r>
              <w:br/>
              <w:t>SL students can skip HL theory boxes unless the teacher assigns them as enrichment. HL students should treat these as minimum extension targets and practise integrating them with modelling and technology.</w:t>
            </w:r>
          </w:p>
        </w:tc>
      </w:tr>
    </w:tbl>
    <w:p/>
    <w:p>
      <w:r>
        <w:br w:type="page"/>
      </w:r>
    </w:p>
    <w:p>
      <w:pPr>
        <w:pStyle w:val="Heading1"/>
        <w:spacing w:before="120" w:after="120" w:line="240" w:lineRule="auto"/>
      </w:pPr>
      <w:r>
        <w:t>3. Daily lesson cycle and weekly study routine</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1080"/>
            <w:shd w:fill="0B3954"/>
            <w:vAlign w:val="center"/>
          </w:tcPr>
          <w:p>
            <w:pPr>
              <w:spacing w:before="0" w:after="20" w:line="240" w:lineRule="auto"/>
            </w:pPr>
            <w:r>
              <w:rPr>
                <w:b/>
                <w:color w:val="FFFFFF"/>
                <w:sz w:val="16"/>
              </w:rPr>
              <w:t>Time</w:t>
            </w:r>
          </w:p>
        </w:tc>
        <w:tc>
          <w:tcPr>
            <w:tcW w:type="dxa" w:w="1656"/>
            <w:shd w:fill="0B3954"/>
            <w:vAlign w:val="center"/>
          </w:tcPr>
          <w:p>
            <w:pPr>
              <w:spacing w:before="0" w:after="20" w:line="240" w:lineRule="auto"/>
            </w:pPr>
            <w:r>
              <w:rPr>
                <w:b/>
                <w:color w:val="FFFFFF"/>
                <w:sz w:val="16"/>
              </w:rPr>
              <w:t>Phase</w:t>
            </w:r>
          </w:p>
        </w:tc>
        <w:tc>
          <w:tcPr>
            <w:tcW w:type="dxa" w:w="4320"/>
            <w:shd w:fill="0B3954"/>
            <w:vAlign w:val="center"/>
          </w:tcPr>
          <w:p>
            <w:pPr>
              <w:spacing w:before="0" w:after="20" w:line="240" w:lineRule="auto"/>
            </w:pPr>
            <w:r>
              <w:rPr>
                <w:b/>
                <w:color w:val="FFFFFF"/>
                <w:sz w:val="16"/>
              </w:rPr>
              <w:t>Teacher move</w:t>
            </w:r>
          </w:p>
        </w:tc>
        <w:tc>
          <w:tcPr>
            <w:tcW w:type="dxa" w:w="3456"/>
            <w:shd w:fill="0B3954"/>
            <w:vAlign w:val="center"/>
          </w:tcPr>
          <w:p>
            <w:pPr>
              <w:spacing w:before="0" w:after="20" w:line="240" w:lineRule="auto"/>
            </w:pPr>
            <w:r>
              <w:rPr>
                <w:b/>
                <w:color w:val="FFFFFF"/>
                <w:sz w:val="16"/>
              </w:rPr>
              <w:t>Student move</w:t>
            </w:r>
          </w:p>
        </w:tc>
      </w:tr>
      <w:tr>
        <w:tc>
          <w:tcPr>
            <w:tcW w:type="dxa" w:w="1080"/>
            <w:vAlign w:val="center"/>
          </w:tcPr>
          <w:p>
            <w:pPr>
              <w:spacing w:before="0" w:after="20" w:line="240" w:lineRule="auto"/>
            </w:pPr>
            <w:r>
              <w:rPr>
                <w:rFonts w:ascii="Arial" w:hAnsi="Arial" w:eastAsia="Arial"/>
                <w:color w:val="1F2937"/>
                <w:sz w:val="16"/>
              </w:rPr>
              <w:t>0-5 min</w:t>
            </w:r>
          </w:p>
        </w:tc>
        <w:tc>
          <w:tcPr>
            <w:tcW w:type="dxa" w:w="1656"/>
            <w:vAlign w:val="center"/>
          </w:tcPr>
          <w:p>
            <w:pPr>
              <w:spacing w:before="0" w:after="20" w:line="240" w:lineRule="auto"/>
            </w:pPr>
            <w:r>
              <w:rPr>
                <w:rFonts w:ascii="Arial" w:hAnsi="Arial" w:eastAsia="Arial"/>
                <w:color w:val="1F2937"/>
                <w:sz w:val="16"/>
              </w:rPr>
              <w:t>Entry retrieval</w:t>
            </w:r>
          </w:p>
        </w:tc>
        <w:tc>
          <w:tcPr>
            <w:tcW w:type="dxa" w:w="4320"/>
            <w:vAlign w:val="center"/>
          </w:tcPr>
          <w:p>
            <w:pPr>
              <w:spacing w:before="0" w:after="20" w:line="240" w:lineRule="auto"/>
            </w:pPr>
            <w:r>
              <w:rPr>
                <w:rFonts w:ascii="Arial" w:hAnsi="Arial" w:eastAsia="Arial"/>
                <w:color w:val="1F2937"/>
                <w:sz w:val="16"/>
              </w:rPr>
              <w:t>2 no-calculator recall prompts or one calculator-output interpretation question.</w:t>
            </w:r>
          </w:p>
        </w:tc>
        <w:tc>
          <w:tcPr>
            <w:tcW w:type="dxa" w:w="3456"/>
            <w:vAlign w:val="center"/>
          </w:tcPr>
          <w:p>
            <w:pPr>
              <w:spacing w:before="0" w:after="20" w:line="240" w:lineRule="auto"/>
            </w:pPr>
            <w:r>
              <w:rPr>
                <w:rFonts w:ascii="Arial" w:hAnsi="Arial" w:eastAsia="Arial"/>
                <w:color w:val="1F2937"/>
                <w:sz w:val="16"/>
              </w:rPr>
              <w:t>Answer without notes; mark confidence 1-3.</w:t>
            </w:r>
          </w:p>
        </w:tc>
      </w:tr>
      <w:tr>
        <w:tc>
          <w:tcPr>
            <w:tcW w:type="dxa" w:w="1080"/>
            <w:vAlign w:val="center"/>
            <w:shd w:fill="F8FAFC"/>
          </w:tcPr>
          <w:p>
            <w:pPr>
              <w:spacing w:before="0" w:after="20" w:line="240" w:lineRule="auto"/>
            </w:pPr>
            <w:r>
              <w:rPr>
                <w:rFonts w:ascii="Arial" w:hAnsi="Arial" w:eastAsia="Arial"/>
                <w:color w:val="1F2937"/>
                <w:sz w:val="16"/>
              </w:rPr>
              <w:t>5-15 min</w:t>
            </w:r>
          </w:p>
        </w:tc>
        <w:tc>
          <w:tcPr>
            <w:tcW w:type="dxa" w:w="1656"/>
            <w:vAlign w:val="center"/>
            <w:shd w:fill="F8FAFC"/>
          </w:tcPr>
          <w:p>
            <w:pPr>
              <w:spacing w:before="0" w:after="20" w:line="240" w:lineRule="auto"/>
            </w:pPr>
            <w:r>
              <w:rPr>
                <w:rFonts w:ascii="Arial" w:hAnsi="Arial" w:eastAsia="Arial"/>
                <w:color w:val="1F2937"/>
                <w:sz w:val="16"/>
              </w:rPr>
              <w:t>Concept launch</w:t>
            </w:r>
          </w:p>
        </w:tc>
        <w:tc>
          <w:tcPr>
            <w:tcW w:type="dxa" w:w="4320"/>
            <w:vAlign w:val="center"/>
            <w:shd w:fill="F8FAFC"/>
          </w:tcPr>
          <w:p>
            <w:pPr>
              <w:spacing w:before="0" w:after="20" w:line="240" w:lineRule="auto"/>
            </w:pPr>
            <w:r>
              <w:rPr>
                <w:rFonts w:ascii="Arial" w:hAnsi="Arial" w:eastAsia="Arial"/>
                <w:color w:val="1F2937"/>
                <w:sz w:val="16"/>
              </w:rPr>
              <w:t>Use a context, graph, dataset, or model to introduce the need for the method.</w:t>
            </w:r>
          </w:p>
        </w:tc>
        <w:tc>
          <w:tcPr>
            <w:tcW w:type="dxa" w:w="3456"/>
            <w:vAlign w:val="center"/>
            <w:shd w:fill="F8FAFC"/>
          </w:tcPr>
          <w:p>
            <w:pPr>
              <w:spacing w:before="0" w:after="20" w:line="240" w:lineRule="auto"/>
            </w:pPr>
            <w:r>
              <w:rPr>
                <w:rFonts w:ascii="Arial" w:hAnsi="Arial" w:eastAsia="Arial"/>
                <w:color w:val="1F2937"/>
                <w:sz w:val="16"/>
              </w:rPr>
              <w:t>Write the question the method is designed to answer.</w:t>
            </w:r>
          </w:p>
        </w:tc>
      </w:tr>
      <w:tr>
        <w:tc>
          <w:tcPr>
            <w:tcW w:type="dxa" w:w="1080"/>
            <w:vAlign w:val="center"/>
          </w:tcPr>
          <w:p>
            <w:pPr>
              <w:spacing w:before="0" w:after="20" w:line="240" w:lineRule="auto"/>
            </w:pPr>
            <w:r>
              <w:rPr>
                <w:rFonts w:ascii="Arial" w:hAnsi="Arial" w:eastAsia="Arial"/>
                <w:color w:val="1F2937"/>
                <w:sz w:val="16"/>
              </w:rPr>
              <w:t>15-30 min</w:t>
            </w:r>
          </w:p>
        </w:tc>
        <w:tc>
          <w:tcPr>
            <w:tcW w:type="dxa" w:w="1656"/>
            <w:vAlign w:val="center"/>
          </w:tcPr>
          <w:p>
            <w:pPr>
              <w:spacing w:before="0" w:after="20" w:line="240" w:lineRule="auto"/>
            </w:pPr>
            <w:r>
              <w:rPr>
                <w:rFonts w:ascii="Arial" w:hAnsi="Arial" w:eastAsia="Arial"/>
                <w:color w:val="1F2937"/>
                <w:sz w:val="16"/>
              </w:rPr>
              <w:t>Teacher modelling</w:t>
            </w:r>
          </w:p>
        </w:tc>
        <w:tc>
          <w:tcPr>
            <w:tcW w:type="dxa" w:w="4320"/>
            <w:vAlign w:val="center"/>
          </w:tcPr>
          <w:p>
            <w:pPr>
              <w:spacing w:before="0" w:after="20" w:line="240" w:lineRule="auto"/>
            </w:pPr>
            <w:r>
              <w:rPr>
                <w:rFonts w:ascii="Arial" w:hAnsi="Arial" w:eastAsia="Arial"/>
                <w:color w:val="1F2937"/>
                <w:sz w:val="16"/>
              </w:rPr>
              <w:t>Show algebra, technology steps, notation, and final interpretation.</w:t>
            </w:r>
          </w:p>
        </w:tc>
        <w:tc>
          <w:tcPr>
            <w:tcW w:type="dxa" w:w="3456"/>
            <w:vAlign w:val="center"/>
          </w:tcPr>
          <w:p>
            <w:pPr>
              <w:spacing w:before="0" w:after="20" w:line="240" w:lineRule="auto"/>
            </w:pPr>
            <w:r>
              <w:rPr>
                <w:rFonts w:ascii="Arial" w:hAnsi="Arial" w:eastAsia="Arial"/>
                <w:color w:val="1F2937"/>
                <w:sz w:val="16"/>
              </w:rPr>
              <w:t>Annotate: input, process, output, interpretation.</w:t>
            </w:r>
          </w:p>
        </w:tc>
      </w:tr>
      <w:tr>
        <w:tc>
          <w:tcPr>
            <w:tcW w:type="dxa" w:w="1080"/>
            <w:vAlign w:val="center"/>
            <w:shd w:fill="F8FAFC"/>
          </w:tcPr>
          <w:p>
            <w:pPr>
              <w:spacing w:before="0" w:after="20" w:line="240" w:lineRule="auto"/>
            </w:pPr>
            <w:r>
              <w:rPr>
                <w:rFonts w:ascii="Arial" w:hAnsi="Arial" w:eastAsia="Arial"/>
                <w:color w:val="1F2937"/>
                <w:sz w:val="16"/>
              </w:rPr>
              <w:t>30-50 min</w:t>
            </w:r>
          </w:p>
        </w:tc>
        <w:tc>
          <w:tcPr>
            <w:tcW w:type="dxa" w:w="1656"/>
            <w:vAlign w:val="center"/>
            <w:shd w:fill="F8FAFC"/>
          </w:tcPr>
          <w:p>
            <w:pPr>
              <w:spacing w:before="0" w:after="20" w:line="240" w:lineRule="auto"/>
            </w:pPr>
            <w:r>
              <w:rPr>
                <w:rFonts w:ascii="Arial" w:hAnsi="Arial" w:eastAsia="Arial"/>
                <w:color w:val="1F2937"/>
                <w:sz w:val="16"/>
              </w:rPr>
              <w:t>Guided practice</w:t>
            </w:r>
          </w:p>
        </w:tc>
        <w:tc>
          <w:tcPr>
            <w:tcW w:type="dxa" w:w="4320"/>
            <w:vAlign w:val="center"/>
            <w:shd w:fill="F8FAFC"/>
          </w:tcPr>
          <w:p>
            <w:pPr>
              <w:spacing w:before="0" w:after="20" w:line="240" w:lineRule="auto"/>
            </w:pPr>
            <w:r>
              <w:rPr>
                <w:rFonts w:ascii="Arial" w:hAnsi="Arial" w:eastAsia="Arial"/>
                <w:color w:val="1F2937"/>
                <w:sz w:val="16"/>
              </w:rPr>
              <w:t>Students solve related tasks with checkpoints and targeted feedback.</w:t>
            </w:r>
          </w:p>
        </w:tc>
        <w:tc>
          <w:tcPr>
            <w:tcW w:type="dxa" w:w="3456"/>
            <w:vAlign w:val="center"/>
            <w:shd w:fill="F8FAFC"/>
          </w:tcPr>
          <w:p>
            <w:pPr>
              <w:spacing w:before="0" w:after="20" w:line="240" w:lineRule="auto"/>
            </w:pPr>
            <w:r>
              <w:rPr>
                <w:rFonts w:ascii="Arial" w:hAnsi="Arial" w:eastAsia="Arial"/>
                <w:color w:val="1F2937"/>
                <w:sz w:val="16"/>
              </w:rPr>
              <w:t>Use the formula bank; ask for help after two documented attempts.</w:t>
            </w:r>
          </w:p>
        </w:tc>
      </w:tr>
      <w:tr>
        <w:tc>
          <w:tcPr>
            <w:tcW w:type="dxa" w:w="1080"/>
            <w:vAlign w:val="center"/>
          </w:tcPr>
          <w:p>
            <w:pPr>
              <w:spacing w:before="0" w:after="20" w:line="240" w:lineRule="auto"/>
            </w:pPr>
            <w:r>
              <w:rPr>
                <w:rFonts w:ascii="Arial" w:hAnsi="Arial" w:eastAsia="Arial"/>
                <w:color w:val="1F2937"/>
                <w:sz w:val="16"/>
              </w:rPr>
              <w:t>50-65 min</w:t>
            </w:r>
          </w:p>
        </w:tc>
        <w:tc>
          <w:tcPr>
            <w:tcW w:type="dxa" w:w="1656"/>
            <w:vAlign w:val="center"/>
          </w:tcPr>
          <w:p>
            <w:pPr>
              <w:spacing w:before="0" w:after="20" w:line="240" w:lineRule="auto"/>
            </w:pPr>
            <w:r>
              <w:rPr>
                <w:rFonts w:ascii="Arial" w:hAnsi="Arial" w:eastAsia="Arial"/>
                <w:color w:val="1F2937"/>
                <w:sz w:val="16"/>
              </w:rPr>
              <w:t>IB-style application</w:t>
            </w:r>
          </w:p>
        </w:tc>
        <w:tc>
          <w:tcPr>
            <w:tcW w:type="dxa" w:w="4320"/>
            <w:vAlign w:val="center"/>
          </w:tcPr>
          <w:p>
            <w:pPr>
              <w:spacing w:before="0" w:after="20" w:line="240" w:lineRule="auto"/>
            </w:pPr>
            <w:r>
              <w:rPr>
                <w:rFonts w:ascii="Arial" w:hAnsi="Arial" w:eastAsia="Arial"/>
                <w:color w:val="1F2937"/>
                <w:sz w:val="16"/>
              </w:rPr>
              <w:t>One exam-style part with command terms, units, and interpretation.</w:t>
            </w:r>
          </w:p>
        </w:tc>
        <w:tc>
          <w:tcPr>
            <w:tcW w:type="dxa" w:w="3456"/>
            <w:vAlign w:val="center"/>
          </w:tcPr>
          <w:p>
            <w:pPr>
              <w:spacing w:before="0" w:after="20" w:line="240" w:lineRule="auto"/>
            </w:pPr>
            <w:r>
              <w:rPr>
                <w:rFonts w:ascii="Arial" w:hAnsi="Arial" w:eastAsia="Arial"/>
                <w:color w:val="1F2937"/>
                <w:sz w:val="16"/>
              </w:rPr>
              <w:t>Show method, not just answer.</w:t>
            </w:r>
          </w:p>
        </w:tc>
      </w:tr>
      <w:tr>
        <w:tc>
          <w:tcPr>
            <w:tcW w:type="dxa" w:w="1080"/>
            <w:vAlign w:val="center"/>
            <w:shd w:fill="F8FAFC"/>
          </w:tcPr>
          <w:p>
            <w:pPr>
              <w:spacing w:before="0" w:after="20" w:line="240" w:lineRule="auto"/>
            </w:pPr>
            <w:r>
              <w:rPr>
                <w:rFonts w:ascii="Arial" w:hAnsi="Arial" w:eastAsia="Arial"/>
                <w:color w:val="1F2937"/>
                <w:sz w:val="16"/>
              </w:rPr>
              <w:t>65-75 min</w:t>
            </w:r>
          </w:p>
        </w:tc>
        <w:tc>
          <w:tcPr>
            <w:tcW w:type="dxa" w:w="1656"/>
            <w:vAlign w:val="center"/>
            <w:shd w:fill="F8FAFC"/>
          </w:tcPr>
          <w:p>
            <w:pPr>
              <w:spacing w:before="0" w:after="20" w:line="240" w:lineRule="auto"/>
            </w:pPr>
            <w:r>
              <w:rPr>
                <w:rFonts w:ascii="Arial" w:hAnsi="Arial" w:eastAsia="Arial"/>
                <w:color w:val="1F2937"/>
                <w:sz w:val="16"/>
              </w:rPr>
              <w:t>Exit ticket</w:t>
            </w:r>
          </w:p>
        </w:tc>
        <w:tc>
          <w:tcPr>
            <w:tcW w:type="dxa" w:w="4320"/>
            <w:vAlign w:val="center"/>
            <w:shd w:fill="F8FAFC"/>
          </w:tcPr>
          <w:p>
            <w:pPr>
              <w:spacing w:before="0" w:after="20" w:line="240" w:lineRule="auto"/>
            </w:pPr>
            <w:r>
              <w:rPr>
                <w:rFonts w:ascii="Arial" w:hAnsi="Arial" w:eastAsia="Arial"/>
                <w:color w:val="1F2937"/>
                <w:sz w:val="16"/>
              </w:rPr>
              <w:t>Short response: skill, misconception, and next step.</w:t>
            </w:r>
          </w:p>
        </w:tc>
        <w:tc>
          <w:tcPr>
            <w:tcW w:type="dxa" w:w="3456"/>
            <w:vAlign w:val="center"/>
            <w:shd w:fill="F8FAFC"/>
          </w:tcPr>
          <w:p>
            <w:pPr>
              <w:spacing w:before="0" w:after="20" w:line="240" w:lineRule="auto"/>
            </w:pPr>
            <w:r>
              <w:rPr>
                <w:rFonts w:ascii="Arial" w:hAnsi="Arial" w:eastAsia="Arial"/>
                <w:color w:val="1F2937"/>
                <w:sz w:val="16"/>
              </w:rPr>
              <w:t>Log one error or one new formula.</w:t>
            </w:r>
          </w:p>
        </w:tc>
      </w:tr>
    </w:tbl>
    <w:p/>
    <w:p>
      <w:pPr>
        <w:pStyle w:val="Heading2"/>
        <w:spacing w:before="80" w:after="60" w:line="240" w:lineRule="auto"/>
      </w:pPr>
      <w:r>
        <w:t>Weekly independent study cycle</w:t>
      </w:r>
    </w:p>
    <w:p>
      <w:pPr>
        <w:pStyle w:val="ListNumber"/>
        <w:spacing w:before="0" w:after="40" w:line="240" w:lineRule="auto"/>
      </w:pPr>
      <w:r>
        <w:t>Preview the week: read the topic objective and copy the relevant formulae into the error log.</w:t>
      </w:r>
    </w:p>
    <w:p>
      <w:pPr>
        <w:pStyle w:val="ListNumber"/>
        <w:spacing w:before="0" w:after="40" w:line="240" w:lineRule="auto"/>
      </w:pPr>
      <w:r>
        <w:t>Practise in three layers: fluency questions, context questions, then IB-style mixed questions.</w:t>
      </w:r>
    </w:p>
    <w:p>
      <w:pPr>
        <w:pStyle w:val="ListNumber"/>
        <w:spacing w:before="0" w:after="40" w:line="240" w:lineRule="auto"/>
      </w:pPr>
      <w:r>
        <w:t>Use technology deliberately: record the calculator command, window, statistic, or regression output and explain it in words.</w:t>
      </w:r>
    </w:p>
    <w:p>
      <w:pPr>
        <w:pStyle w:val="ListNumber"/>
        <w:spacing w:before="0" w:after="40" w:line="240" w:lineRule="auto"/>
      </w:pPr>
      <w:r>
        <w:t>Review mistakes within 48 hours using the tracker: misconception, corrected method, and a similar follow-up question.</w:t>
      </w:r>
    </w:p>
    <w:p>
      <w:pPr>
        <w:pStyle w:val="ListNumber"/>
        <w:spacing w:before="0" w:after="40" w:line="240" w:lineRule="auto"/>
      </w:pPr>
      <w:r>
        <w:t>End the week with a one-page reflection: key model, key assumption, one formula, one exam strategy.</w:t>
      </w:r>
    </w:p>
    <w:p>
      <w:r>
        <w:br w:type="page"/>
      </w:r>
    </w:p>
    <w:p>
      <w:pPr>
        <w:pStyle w:val="Heading1"/>
        <w:spacing w:before="120" w:after="120" w:line="240" w:lineRule="auto"/>
      </w:pPr>
      <w:r>
        <w:t>4. Topic-by-topic study guide</w:t>
      </w:r>
    </w:p>
    <w:p>
      <w:pPr>
        <w:pStyle w:val="Heading2"/>
        <w:spacing w:before="80" w:after="60" w:line="240" w:lineRule="auto"/>
      </w:pPr>
      <w:r>
        <w:t>Topic 1 - Number and algebra</w:t>
      </w:r>
    </w:p>
    <w:tbl>
      <w:tblPr>
        <w:tblStyle w:val="TableGrid"/>
        <w:tblW w:type="auto" w:w="0"/>
        <w:jc w:val="center"/>
        <w:tblLook w:firstColumn="1" w:firstRow="1" w:lastColumn="0" w:lastRow="0" w:noHBand="0" w:noVBand="1" w:val="04A0"/>
      </w:tblPr>
      <w:tblGrid>
        <w:gridCol w:w="5256"/>
        <w:gridCol w:w="5256"/>
      </w:tblGrid>
      <w:tr>
        <w:trPr>
          <w:tblHeader w:val="true"/>
        </w:trPr>
        <w:tc>
          <w:tcPr>
            <w:tcW w:type="dxa" w:w="2160"/>
            <w:shd w:fill="0E9AA7"/>
            <w:vAlign w:val="center"/>
          </w:tcPr>
          <w:p>
            <w:pPr>
              <w:spacing w:before="0" w:after="20" w:line="240" w:lineRule="auto"/>
            </w:pPr>
            <w:r>
              <w:rPr>
                <w:b/>
                <w:color w:val="FFFFFF"/>
                <w:sz w:val="16"/>
              </w:rPr>
              <w:t>Focus</w:t>
            </w:r>
          </w:p>
        </w:tc>
        <w:tc>
          <w:tcPr>
            <w:tcW w:type="dxa" w:w="7632"/>
            <w:shd w:fill="0E9AA7"/>
            <w:vAlign w:val="center"/>
          </w:tcPr>
          <w:p>
            <w:pPr>
              <w:spacing w:before="0" w:after="20" w:line="240" w:lineRule="auto"/>
            </w:pPr>
            <w:r>
              <w:rPr>
                <w:b/>
                <w:color w:val="FFFFFF"/>
                <w:sz w:val="16"/>
              </w:rPr>
              <w:t>What to do</w:t>
            </w:r>
          </w:p>
        </w:tc>
      </w:tr>
      <w:tr>
        <w:tc>
          <w:tcPr>
            <w:tcW w:type="dxa" w:w="2160"/>
            <w:vAlign w:val="center"/>
          </w:tcPr>
          <w:p>
            <w:pPr>
              <w:spacing w:before="0" w:after="20" w:line="240" w:lineRule="auto"/>
            </w:pPr>
            <w:r>
              <w:rPr>
                <w:rFonts w:ascii="Arial" w:hAnsi="Arial" w:eastAsia="Arial"/>
                <w:color w:val="1F2937"/>
                <w:sz w:val="16"/>
              </w:rPr>
              <w:t>SL core targets</w:t>
            </w:r>
          </w:p>
        </w:tc>
        <w:tc>
          <w:tcPr>
            <w:tcW w:type="dxa" w:w="7632"/>
            <w:vAlign w:val="center"/>
          </w:tcPr>
          <w:p>
            <w:pPr>
              <w:spacing w:before="0" w:after="20" w:line="240" w:lineRule="auto"/>
            </w:pPr>
            <w:r>
              <w:rPr>
                <w:rFonts w:ascii="Arial" w:hAnsi="Arial" w:eastAsia="Arial"/>
                <w:color w:val="1F2937"/>
                <w:sz w:val="16"/>
              </w:rPr>
              <w:t>• Work confidently with standard form, significant figures, percentage error, and unit-aware estimation.</w:t>
              <w:br/>
              <w:t>• Model arithmetic/geometric sequences and financial contexts including compound interest and annuities.</w:t>
              <w:br/>
              <w:t>• Use logarithms and technology to solve equations and interpret growth or decay models.</w:t>
            </w:r>
          </w:p>
        </w:tc>
      </w:tr>
      <w:tr>
        <w:tc>
          <w:tcPr>
            <w:tcW w:type="dxa" w:w="2160"/>
            <w:vAlign w:val="center"/>
            <w:shd w:fill="F8FAFC"/>
          </w:tcPr>
          <w:p>
            <w:pPr>
              <w:spacing w:before="0" w:after="20" w:line="240" w:lineRule="auto"/>
            </w:pPr>
            <w:r>
              <w:rPr>
                <w:rFonts w:ascii="Arial" w:hAnsi="Arial" w:eastAsia="Arial"/>
                <w:color w:val="1F2937"/>
                <w:sz w:val="16"/>
              </w:rPr>
              <w:t>HL extension targets</w:t>
            </w:r>
          </w:p>
        </w:tc>
        <w:tc>
          <w:tcPr>
            <w:tcW w:type="dxa" w:w="7632"/>
            <w:vAlign w:val="center"/>
            <w:shd w:fill="F8FAFC"/>
          </w:tcPr>
          <w:p>
            <w:pPr>
              <w:spacing w:before="0" w:after="20" w:line="240" w:lineRule="auto"/>
            </w:pPr>
            <w:r>
              <w:rPr>
                <w:rFonts w:ascii="Arial" w:hAnsi="Arial" w:eastAsia="Arial"/>
                <w:color w:val="1F2937"/>
                <w:sz w:val="16"/>
              </w:rPr>
              <w:t>• Manipulate logarithm laws, rational exponents, infinite geometric series, complex numbers, and matrices.</w:t>
              <w:br/>
              <w:t>• Interpret matrix powers, determinants, inverses, eigenvalues/eigenvectors, and Markov chain steady behaviour in context.</w:t>
            </w:r>
          </w:p>
        </w:tc>
      </w:tr>
      <w:tr>
        <w:tc>
          <w:tcPr>
            <w:tcW w:type="dxa" w:w="2160"/>
            <w:vAlign w:val="center"/>
          </w:tcPr>
          <w:p>
            <w:pPr>
              <w:spacing w:before="0" w:after="20" w:line="240" w:lineRule="auto"/>
            </w:pPr>
            <w:r>
              <w:rPr>
                <w:rFonts w:ascii="Arial" w:hAnsi="Arial" w:eastAsia="Arial"/>
                <w:color w:val="1F2937"/>
                <w:sz w:val="16"/>
              </w:rPr>
              <w:t>High-yield practice</w:t>
            </w:r>
          </w:p>
        </w:tc>
        <w:tc>
          <w:tcPr>
            <w:tcW w:type="dxa" w:w="7632"/>
            <w:vAlign w:val="center"/>
          </w:tcPr>
          <w:p>
            <w:pPr>
              <w:spacing w:before="0" w:after="20" w:line="240" w:lineRule="auto"/>
            </w:pPr>
            <w:r>
              <w:rPr>
                <w:rFonts w:ascii="Arial" w:hAnsi="Arial" w:eastAsia="Arial"/>
                <w:color w:val="1F2937"/>
                <w:sz w:val="16"/>
              </w:rPr>
              <w:t>• Loan repayment and savings model with graph/table interpretation.</w:t>
              <w:br/>
              <w:t>• Technology-solved exponential equation with clear explanation of why the solution is reasonable.</w:t>
              <w:br/>
              <w:t>• HL: Markov transition matrix investigation with long-run state and assumptions.</w:t>
            </w:r>
          </w:p>
        </w:tc>
      </w:tr>
      <w:tr>
        <w:tc>
          <w:tcPr>
            <w:tcW w:type="dxa" w:w="2160"/>
            <w:vAlign w:val="center"/>
            <w:shd w:fill="F8FAFC"/>
          </w:tcPr>
          <w:p>
            <w:pPr>
              <w:spacing w:before="0" w:after="20" w:line="240" w:lineRule="auto"/>
            </w:pPr>
            <w:r>
              <w:rPr>
                <w:rFonts w:ascii="Arial" w:hAnsi="Arial" w:eastAsia="Arial"/>
                <w:color w:val="1F2937"/>
                <w:sz w:val="16"/>
              </w:rPr>
              <w:t>Common traps</w:t>
            </w:r>
          </w:p>
        </w:tc>
        <w:tc>
          <w:tcPr>
            <w:tcW w:type="dxa" w:w="7632"/>
            <w:vAlign w:val="center"/>
            <w:shd w:fill="F8FAFC"/>
          </w:tcPr>
          <w:p>
            <w:pPr>
              <w:spacing w:before="0" w:after="20" w:line="240" w:lineRule="auto"/>
            </w:pPr>
            <w:r>
              <w:rPr>
                <w:rFonts w:ascii="Arial" w:hAnsi="Arial" w:eastAsia="Arial"/>
                <w:color w:val="1F2937"/>
                <w:sz w:val="16"/>
              </w:rPr>
              <w:t>• Mixing percentage points with percentages.</w:t>
              <w:br/>
              <w:t>• Forgetting that calculator answers require interpretation and appropriate rounding.</w:t>
              <w:br/>
              <w:t>• Using a logarithm model without checking domain or context.</w:t>
            </w:r>
          </w:p>
        </w:tc>
      </w:tr>
    </w:tbl>
    <w:p/>
    <w:p>
      <w:pPr>
        <w:pStyle w:val="Heading2"/>
        <w:spacing w:before="80" w:after="60" w:line="240" w:lineRule="auto"/>
      </w:pPr>
      <w:r>
        <w:t>Topic 2 - Functions</w:t>
      </w:r>
    </w:p>
    <w:tbl>
      <w:tblPr>
        <w:tblStyle w:val="TableGrid"/>
        <w:tblW w:type="auto" w:w="0"/>
        <w:jc w:val="center"/>
        <w:tblLook w:firstColumn="1" w:firstRow="1" w:lastColumn="0" w:lastRow="0" w:noHBand="0" w:noVBand="1" w:val="04A0"/>
      </w:tblPr>
      <w:tblGrid>
        <w:gridCol w:w="5256"/>
        <w:gridCol w:w="5256"/>
      </w:tblGrid>
      <w:tr>
        <w:trPr>
          <w:tblHeader w:val="true"/>
        </w:trPr>
        <w:tc>
          <w:tcPr>
            <w:tcW w:type="dxa" w:w="2160"/>
            <w:shd w:fill="0E9AA7"/>
            <w:vAlign w:val="center"/>
          </w:tcPr>
          <w:p>
            <w:pPr>
              <w:spacing w:before="0" w:after="20" w:line="240" w:lineRule="auto"/>
            </w:pPr>
            <w:r>
              <w:rPr>
                <w:b/>
                <w:color w:val="FFFFFF"/>
                <w:sz w:val="16"/>
              </w:rPr>
              <w:t>Focus</w:t>
            </w:r>
          </w:p>
        </w:tc>
        <w:tc>
          <w:tcPr>
            <w:tcW w:type="dxa" w:w="7632"/>
            <w:shd w:fill="0E9AA7"/>
            <w:vAlign w:val="center"/>
          </w:tcPr>
          <w:p>
            <w:pPr>
              <w:spacing w:before="0" w:after="20" w:line="240" w:lineRule="auto"/>
            </w:pPr>
            <w:r>
              <w:rPr>
                <w:b/>
                <w:color w:val="FFFFFF"/>
                <w:sz w:val="16"/>
              </w:rPr>
              <w:t>What to do</w:t>
            </w:r>
          </w:p>
        </w:tc>
      </w:tr>
      <w:tr>
        <w:tc>
          <w:tcPr>
            <w:tcW w:type="dxa" w:w="2160"/>
            <w:vAlign w:val="center"/>
          </w:tcPr>
          <w:p>
            <w:pPr>
              <w:spacing w:before="0" w:after="20" w:line="240" w:lineRule="auto"/>
            </w:pPr>
            <w:r>
              <w:rPr>
                <w:rFonts w:ascii="Arial" w:hAnsi="Arial" w:eastAsia="Arial"/>
                <w:color w:val="1F2937"/>
                <w:sz w:val="16"/>
              </w:rPr>
              <w:t>SL core targets</w:t>
            </w:r>
          </w:p>
        </w:tc>
        <w:tc>
          <w:tcPr>
            <w:tcW w:type="dxa" w:w="7632"/>
            <w:vAlign w:val="center"/>
          </w:tcPr>
          <w:p>
            <w:pPr>
              <w:spacing w:before="0" w:after="20" w:line="240" w:lineRule="auto"/>
            </w:pPr>
            <w:r>
              <w:rPr>
                <w:rFonts w:ascii="Arial" w:hAnsi="Arial" w:eastAsia="Arial"/>
                <w:color w:val="1F2937"/>
                <w:sz w:val="16"/>
              </w:rPr>
              <w:t>• Read and create models using linear, quadratic, cubic, exponential, sinusoidal, direct, and inverse variation.</w:t>
              <w:br/>
              <w:t>• Identify domain, range, intercepts, maximum/minimum, asymptotes, rates, and parameter meaning.</w:t>
              <w:br/>
              <w:t>• Compare models and explain extrapolation risks.</w:t>
            </w:r>
          </w:p>
        </w:tc>
      </w:tr>
      <w:tr>
        <w:tc>
          <w:tcPr>
            <w:tcW w:type="dxa" w:w="2160"/>
            <w:vAlign w:val="center"/>
            <w:shd w:fill="F8FAFC"/>
          </w:tcPr>
          <w:p>
            <w:pPr>
              <w:spacing w:before="0" w:after="20" w:line="240" w:lineRule="auto"/>
            </w:pPr>
            <w:r>
              <w:rPr>
                <w:rFonts w:ascii="Arial" w:hAnsi="Arial" w:eastAsia="Arial"/>
                <w:color w:val="1F2937"/>
                <w:sz w:val="16"/>
              </w:rPr>
              <w:t>HL extension targets</w:t>
            </w:r>
          </w:p>
        </w:tc>
        <w:tc>
          <w:tcPr>
            <w:tcW w:type="dxa" w:w="7632"/>
            <w:vAlign w:val="center"/>
            <w:shd w:fill="F8FAFC"/>
          </w:tcPr>
          <w:p>
            <w:pPr>
              <w:spacing w:before="0" w:after="20" w:line="240" w:lineRule="auto"/>
            </w:pPr>
            <w:r>
              <w:rPr>
                <w:rFonts w:ascii="Arial" w:hAnsi="Arial" w:eastAsia="Arial"/>
                <w:color w:val="1F2937"/>
                <w:sz w:val="16"/>
              </w:rPr>
              <w:t>• Use composite and inverse functions, transformations, natural log, logistic models, and log-linearization.</w:t>
              <w:br/>
              <w:t>• Select and justify a model using residuals, restrictions, and context.</w:t>
            </w:r>
          </w:p>
        </w:tc>
      </w:tr>
      <w:tr>
        <w:tc>
          <w:tcPr>
            <w:tcW w:type="dxa" w:w="2160"/>
            <w:vAlign w:val="center"/>
          </w:tcPr>
          <w:p>
            <w:pPr>
              <w:spacing w:before="0" w:after="20" w:line="240" w:lineRule="auto"/>
            </w:pPr>
            <w:r>
              <w:rPr>
                <w:rFonts w:ascii="Arial" w:hAnsi="Arial" w:eastAsia="Arial"/>
                <w:color w:val="1F2937"/>
                <w:sz w:val="16"/>
              </w:rPr>
              <w:t>High-yield practice</w:t>
            </w:r>
          </w:p>
        </w:tc>
        <w:tc>
          <w:tcPr>
            <w:tcW w:type="dxa" w:w="7632"/>
            <w:vAlign w:val="center"/>
          </w:tcPr>
          <w:p>
            <w:pPr>
              <w:spacing w:before="0" w:after="20" w:line="240" w:lineRule="auto"/>
            </w:pPr>
            <w:r>
              <w:rPr>
                <w:rFonts w:ascii="Arial" w:hAnsi="Arial" w:eastAsia="Arial"/>
                <w:color w:val="1F2937"/>
                <w:sz w:val="16"/>
              </w:rPr>
              <w:t>• Fit a model to real data, report parameters, and discuss limitations.</w:t>
              <w:br/>
              <w:t>• Compare exponential and logistic models for population or diffusion data.</w:t>
              <w:br/>
              <w:t>• HL: derive transformed graphs and connect parameters to technology output.</w:t>
            </w:r>
          </w:p>
        </w:tc>
      </w:tr>
      <w:tr>
        <w:tc>
          <w:tcPr>
            <w:tcW w:type="dxa" w:w="2160"/>
            <w:vAlign w:val="center"/>
            <w:shd w:fill="F8FAFC"/>
          </w:tcPr>
          <w:p>
            <w:pPr>
              <w:spacing w:before="0" w:after="20" w:line="240" w:lineRule="auto"/>
            </w:pPr>
            <w:r>
              <w:rPr>
                <w:rFonts w:ascii="Arial" w:hAnsi="Arial" w:eastAsia="Arial"/>
                <w:color w:val="1F2937"/>
                <w:sz w:val="16"/>
              </w:rPr>
              <w:t>Common traps</w:t>
            </w:r>
          </w:p>
        </w:tc>
        <w:tc>
          <w:tcPr>
            <w:tcW w:type="dxa" w:w="7632"/>
            <w:vAlign w:val="center"/>
            <w:shd w:fill="F8FAFC"/>
          </w:tcPr>
          <w:p>
            <w:pPr>
              <w:spacing w:before="0" w:after="20" w:line="240" w:lineRule="auto"/>
            </w:pPr>
            <w:r>
              <w:rPr>
                <w:rFonts w:ascii="Arial" w:hAnsi="Arial" w:eastAsia="Arial"/>
                <w:color w:val="1F2937"/>
                <w:sz w:val="16"/>
              </w:rPr>
              <w:t>• Confusing the graph of a model with the real-world situation.</w:t>
              <w:br/>
              <w:t>• Ignoring restrictions such as time &gt;= 0 or population capacity.</w:t>
              <w:br/>
              <w:t>• Using high R^2 as the only reason for a model choice.</w:t>
            </w:r>
          </w:p>
        </w:tc>
      </w:tr>
    </w:tbl>
    <w:p/>
    <w:p>
      <w:pPr>
        <w:pStyle w:val="Heading2"/>
        <w:spacing w:before="80" w:after="60" w:line="240" w:lineRule="auto"/>
      </w:pPr>
      <w:r>
        <w:t>Topic 3 - Geometry and trigonometry</w:t>
      </w:r>
    </w:p>
    <w:tbl>
      <w:tblPr>
        <w:tblStyle w:val="TableGrid"/>
        <w:tblW w:type="auto" w:w="0"/>
        <w:jc w:val="center"/>
        <w:tblLook w:firstColumn="1" w:firstRow="1" w:lastColumn="0" w:lastRow="0" w:noHBand="0" w:noVBand="1" w:val="04A0"/>
      </w:tblPr>
      <w:tblGrid>
        <w:gridCol w:w="5256"/>
        <w:gridCol w:w="5256"/>
      </w:tblGrid>
      <w:tr>
        <w:trPr>
          <w:tblHeader w:val="true"/>
        </w:trPr>
        <w:tc>
          <w:tcPr>
            <w:tcW w:type="dxa" w:w="2160"/>
            <w:shd w:fill="0E9AA7"/>
            <w:vAlign w:val="center"/>
          </w:tcPr>
          <w:p>
            <w:pPr>
              <w:spacing w:before="0" w:after="20" w:line="240" w:lineRule="auto"/>
            </w:pPr>
            <w:r>
              <w:rPr>
                <w:b/>
                <w:color w:val="FFFFFF"/>
                <w:sz w:val="16"/>
              </w:rPr>
              <w:t>Focus</w:t>
            </w:r>
          </w:p>
        </w:tc>
        <w:tc>
          <w:tcPr>
            <w:tcW w:type="dxa" w:w="7632"/>
            <w:shd w:fill="0E9AA7"/>
            <w:vAlign w:val="center"/>
          </w:tcPr>
          <w:p>
            <w:pPr>
              <w:spacing w:before="0" w:after="20" w:line="240" w:lineRule="auto"/>
            </w:pPr>
            <w:r>
              <w:rPr>
                <w:b/>
                <w:color w:val="FFFFFF"/>
                <w:sz w:val="16"/>
              </w:rPr>
              <w:t>What to do</w:t>
            </w:r>
          </w:p>
        </w:tc>
      </w:tr>
      <w:tr>
        <w:tc>
          <w:tcPr>
            <w:tcW w:type="dxa" w:w="2160"/>
            <w:vAlign w:val="center"/>
          </w:tcPr>
          <w:p>
            <w:pPr>
              <w:spacing w:before="0" w:after="20" w:line="240" w:lineRule="auto"/>
            </w:pPr>
            <w:r>
              <w:rPr>
                <w:rFonts w:ascii="Arial" w:hAnsi="Arial" w:eastAsia="Arial"/>
                <w:color w:val="1F2937"/>
                <w:sz w:val="16"/>
              </w:rPr>
              <w:t>SL core targets</w:t>
            </w:r>
          </w:p>
        </w:tc>
        <w:tc>
          <w:tcPr>
            <w:tcW w:type="dxa" w:w="7632"/>
            <w:vAlign w:val="center"/>
          </w:tcPr>
          <w:p>
            <w:pPr>
              <w:spacing w:before="0" w:after="20" w:line="240" w:lineRule="auto"/>
            </w:pPr>
            <w:r>
              <w:rPr>
                <w:rFonts w:ascii="Arial" w:hAnsi="Arial" w:eastAsia="Arial"/>
                <w:color w:val="1F2937"/>
                <w:sz w:val="16"/>
              </w:rPr>
              <w:t>• Apply coordinate geometry, right-triangle trigonometry, sine/cosine rules, bearings, areas, and volumes.</w:t>
              <w:br/>
              <w:t>• Use Voronoi diagrams and routing concepts when required by the school route.</w:t>
              <w:br/>
              <w:t>• Communicate diagrams clearly with labels and units.</w:t>
            </w:r>
          </w:p>
        </w:tc>
      </w:tr>
      <w:tr>
        <w:tc>
          <w:tcPr>
            <w:tcW w:type="dxa" w:w="2160"/>
            <w:vAlign w:val="center"/>
            <w:shd w:fill="F8FAFC"/>
          </w:tcPr>
          <w:p>
            <w:pPr>
              <w:spacing w:before="0" w:after="20" w:line="240" w:lineRule="auto"/>
            </w:pPr>
            <w:r>
              <w:rPr>
                <w:rFonts w:ascii="Arial" w:hAnsi="Arial" w:eastAsia="Arial"/>
                <w:color w:val="1F2937"/>
                <w:sz w:val="16"/>
              </w:rPr>
              <w:t>HL extension targets</w:t>
            </w:r>
          </w:p>
        </w:tc>
        <w:tc>
          <w:tcPr>
            <w:tcW w:type="dxa" w:w="7632"/>
            <w:vAlign w:val="center"/>
            <w:shd w:fill="F8FAFC"/>
          </w:tcPr>
          <w:p>
            <w:pPr>
              <w:spacing w:before="0" w:after="20" w:line="240" w:lineRule="auto"/>
            </w:pPr>
            <w:r>
              <w:rPr>
                <w:rFonts w:ascii="Arial" w:hAnsi="Arial" w:eastAsia="Arial"/>
                <w:color w:val="1F2937"/>
                <w:sz w:val="16"/>
              </w:rPr>
              <w:t>• Work in radians and the unit circle; use vectors, scalar products, vector equations, graph theory, adjacency matrices, and algorithms.</w:t>
              <w:br/>
              <w:t>• Connect network algorithms to optimization and real routing decisions.</w:t>
            </w:r>
          </w:p>
        </w:tc>
      </w:tr>
      <w:tr>
        <w:tc>
          <w:tcPr>
            <w:tcW w:type="dxa" w:w="2160"/>
            <w:vAlign w:val="center"/>
          </w:tcPr>
          <w:p>
            <w:pPr>
              <w:spacing w:before="0" w:after="20" w:line="240" w:lineRule="auto"/>
            </w:pPr>
            <w:r>
              <w:rPr>
                <w:rFonts w:ascii="Arial" w:hAnsi="Arial" w:eastAsia="Arial"/>
                <w:color w:val="1F2937"/>
                <w:sz w:val="16"/>
              </w:rPr>
              <w:t>High-yield practice</w:t>
            </w:r>
          </w:p>
        </w:tc>
        <w:tc>
          <w:tcPr>
            <w:tcW w:type="dxa" w:w="7632"/>
            <w:vAlign w:val="center"/>
          </w:tcPr>
          <w:p>
            <w:pPr>
              <w:spacing w:before="0" w:after="20" w:line="240" w:lineRule="auto"/>
            </w:pPr>
            <w:r>
              <w:rPr>
                <w:rFonts w:ascii="Arial" w:hAnsi="Arial" w:eastAsia="Arial"/>
                <w:color w:val="1F2937"/>
                <w:sz w:val="16"/>
              </w:rPr>
              <w:t>• Navigation/bearings problem with diagram, calculation, and reasonableness check.</w:t>
              <w:br/>
              <w:t>• Optimization of a physical design using geometry and technology.</w:t>
              <w:br/>
              <w:t>• HL: network shortest-path/minimum-spanning-tree problem with justification.</w:t>
            </w:r>
          </w:p>
        </w:tc>
      </w:tr>
      <w:tr>
        <w:tc>
          <w:tcPr>
            <w:tcW w:type="dxa" w:w="2160"/>
            <w:vAlign w:val="center"/>
            <w:shd w:fill="F8FAFC"/>
          </w:tcPr>
          <w:p>
            <w:pPr>
              <w:spacing w:before="0" w:after="20" w:line="240" w:lineRule="auto"/>
            </w:pPr>
            <w:r>
              <w:rPr>
                <w:rFonts w:ascii="Arial" w:hAnsi="Arial" w:eastAsia="Arial"/>
                <w:color w:val="1F2937"/>
                <w:sz w:val="16"/>
              </w:rPr>
              <w:t>Common traps</w:t>
            </w:r>
          </w:p>
        </w:tc>
        <w:tc>
          <w:tcPr>
            <w:tcW w:type="dxa" w:w="7632"/>
            <w:vAlign w:val="center"/>
            <w:shd w:fill="F8FAFC"/>
          </w:tcPr>
          <w:p>
            <w:pPr>
              <w:spacing w:before="0" w:after="20" w:line="240" w:lineRule="auto"/>
            </w:pPr>
            <w:r>
              <w:rPr>
                <w:rFonts w:ascii="Arial" w:hAnsi="Arial" w:eastAsia="Arial"/>
                <w:color w:val="1F2937"/>
                <w:sz w:val="16"/>
              </w:rPr>
              <w:t>• Degree/radian mode errors.</w:t>
              <w:br/>
              <w:t>• Bearings measured from the wrong direction.</w:t>
              <w:br/>
              <w:t>• Vector answers without a contextual conclusion.</w:t>
            </w:r>
          </w:p>
        </w:tc>
      </w:tr>
    </w:tbl>
    <w:p/>
    <w:p>
      <w:pPr>
        <w:pStyle w:val="Heading2"/>
        <w:spacing w:before="80" w:after="60" w:line="240" w:lineRule="auto"/>
      </w:pPr>
      <w:r>
        <w:t>Topic 4 - Statistics and probability</w:t>
      </w:r>
    </w:p>
    <w:tbl>
      <w:tblPr>
        <w:tblStyle w:val="TableGrid"/>
        <w:tblW w:type="auto" w:w="0"/>
        <w:jc w:val="center"/>
        <w:tblLook w:firstColumn="1" w:firstRow="1" w:lastColumn="0" w:lastRow="0" w:noHBand="0" w:noVBand="1" w:val="04A0"/>
      </w:tblPr>
      <w:tblGrid>
        <w:gridCol w:w="5256"/>
        <w:gridCol w:w="5256"/>
      </w:tblGrid>
      <w:tr>
        <w:trPr>
          <w:tblHeader w:val="true"/>
        </w:trPr>
        <w:tc>
          <w:tcPr>
            <w:tcW w:type="dxa" w:w="2160"/>
            <w:shd w:fill="0E9AA7"/>
            <w:vAlign w:val="center"/>
          </w:tcPr>
          <w:p>
            <w:pPr>
              <w:spacing w:before="0" w:after="20" w:line="240" w:lineRule="auto"/>
            </w:pPr>
            <w:r>
              <w:rPr>
                <w:b/>
                <w:color w:val="FFFFFF"/>
                <w:sz w:val="16"/>
              </w:rPr>
              <w:t>Focus</w:t>
            </w:r>
          </w:p>
        </w:tc>
        <w:tc>
          <w:tcPr>
            <w:tcW w:type="dxa" w:w="7632"/>
            <w:shd w:fill="0E9AA7"/>
            <w:vAlign w:val="center"/>
          </w:tcPr>
          <w:p>
            <w:pPr>
              <w:spacing w:before="0" w:after="20" w:line="240" w:lineRule="auto"/>
            </w:pPr>
            <w:r>
              <w:rPr>
                <w:b/>
                <w:color w:val="FFFFFF"/>
                <w:sz w:val="16"/>
              </w:rPr>
              <w:t>What to do</w:t>
            </w:r>
          </w:p>
        </w:tc>
      </w:tr>
      <w:tr>
        <w:tc>
          <w:tcPr>
            <w:tcW w:type="dxa" w:w="2160"/>
            <w:vAlign w:val="center"/>
          </w:tcPr>
          <w:p>
            <w:pPr>
              <w:spacing w:before="0" w:after="20" w:line="240" w:lineRule="auto"/>
            </w:pPr>
            <w:r>
              <w:rPr>
                <w:rFonts w:ascii="Arial" w:hAnsi="Arial" w:eastAsia="Arial"/>
                <w:color w:val="1F2937"/>
                <w:sz w:val="16"/>
              </w:rPr>
              <w:t>SL core targets</w:t>
            </w:r>
          </w:p>
        </w:tc>
        <w:tc>
          <w:tcPr>
            <w:tcW w:type="dxa" w:w="7632"/>
            <w:vAlign w:val="center"/>
          </w:tcPr>
          <w:p>
            <w:pPr>
              <w:spacing w:before="0" w:after="20" w:line="240" w:lineRule="auto"/>
            </w:pPr>
            <w:r>
              <w:rPr>
                <w:rFonts w:ascii="Arial" w:hAnsi="Arial" w:eastAsia="Arial"/>
                <w:color w:val="1F2937"/>
                <w:sz w:val="16"/>
              </w:rPr>
              <w:t>• Summarize data using descriptive statistics, diagrams, normal distribution, regression, correlation, probability rules, and distributions.</w:t>
              <w:br/>
              <w:t>• Understand sampling, bias, outliers, expected value, and interpretation of statistical output.</w:t>
              <w:br/>
              <w:t>• Use technology for calculations while writing assumptions and conclusions in context.</w:t>
            </w:r>
          </w:p>
        </w:tc>
      </w:tr>
      <w:tr>
        <w:tc>
          <w:tcPr>
            <w:tcW w:type="dxa" w:w="2160"/>
            <w:vAlign w:val="center"/>
            <w:shd w:fill="F8FAFC"/>
          </w:tcPr>
          <w:p>
            <w:pPr>
              <w:spacing w:before="0" w:after="20" w:line="240" w:lineRule="auto"/>
            </w:pPr>
            <w:r>
              <w:rPr>
                <w:rFonts w:ascii="Arial" w:hAnsi="Arial" w:eastAsia="Arial"/>
                <w:color w:val="1F2937"/>
                <w:sz w:val="16"/>
              </w:rPr>
              <w:t>HL extension targets</w:t>
            </w:r>
          </w:p>
        </w:tc>
        <w:tc>
          <w:tcPr>
            <w:tcW w:type="dxa" w:w="7632"/>
            <w:vAlign w:val="center"/>
            <w:shd w:fill="F8FAFC"/>
          </w:tcPr>
          <w:p>
            <w:pPr>
              <w:spacing w:before="0" w:after="20" w:line="240" w:lineRule="auto"/>
            </w:pPr>
            <w:r>
              <w:rPr>
                <w:rFonts w:ascii="Arial" w:hAnsi="Arial" w:eastAsia="Arial"/>
                <w:color w:val="1F2937"/>
                <w:sz w:val="16"/>
              </w:rPr>
              <w:t>• Handle discrete/continuous random variables, linear transformations, confidence intervals, hypothesis tests, chi-square tests, transition matrices, and bivariate normal contexts.</w:t>
              <w:br/>
              <w:t>• Justify the choice of test/model and interpret p-values and confidence intervals.</w:t>
            </w:r>
          </w:p>
        </w:tc>
      </w:tr>
      <w:tr>
        <w:tc>
          <w:tcPr>
            <w:tcW w:type="dxa" w:w="2160"/>
            <w:vAlign w:val="center"/>
          </w:tcPr>
          <w:p>
            <w:pPr>
              <w:spacing w:before="0" w:after="20" w:line="240" w:lineRule="auto"/>
            </w:pPr>
            <w:r>
              <w:rPr>
                <w:rFonts w:ascii="Arial" w:hAnsi="Arial" w:eastAsia="Arial"/>
                <w:color w:val="1F2937"/>
                <w:sz w:val="16"/>
              </w:rPr>
              <w:t>High-yield practice</w:t>
            </w:r>
          </w:p>
        </w:tc>
        <w:tc>
          <w:tcPr>
            <w:tcW w:type="dxa" w:w="7632"/>
            <w:vAlign w:val="center"/>
          </w:tcPr>
          <w:p>
            <w:pPr>
              <w:spacing w:before="0" w:after="20" w:line="240" w:lineRule="auto"/>
            </w:pPr>
            <w:r>
              <w:rPr>
                <w:rFonts w:ascii="Arial" w:hAnsi="Arial" w:eastAsia="Arial"/>
                <w:color w:val="1F2937"/>
                <w:sz w:val="16"/>
              </w:rPr>
              <w:t>• Design a survey, describe bias controls, and analyse summary statistics.</w:t>
              <w:br/>
              <w:t>• Regression/correlation investigation with residuals and limitation statement.</w:t>
              <w:br/>
              <w:t>• HL: hypothesis test with assumptions, p-value, conclusion, and effect/context comment.</w:t>
            </w:r>
          </w:p>
        </w:tc>
      </w:tr>
      <w:tr>
        <w:tc>
          <w:tcPr>
            <w:tcW w:type="dxa" w:w="2160"/>
            <w:vAlign w:val="center"/>
            <w:shd w:fill="F8FAFC"/>
          </w:tcPr>
          <w:p>
            <w:pPr>
              <w:spacing w:before="0" w:after="20" w:line="240" w:lineRule="auto"/>
            </w:pPr>
            <w:r>
              <w:rPr>
                <w:rFonts w:ascii="Arial" w:hAnsi="Arial" w:eastAsia="Arial"/>
                <w:color w:val="1F2937"/>
                <w:sz w:val="16"/>
              </w:rPr>
              <w:t>Common traps</w:t>
            </w:r>
          </w:p>
        </w:tc>
        <w:tc>
          <w:tcPr>
            <w:tcW w:type="dxa" w:w="7632"/>
            <w:vAlign w:val="center"/>
            <w:shd w:fill="F8FAFC"/>
          </w:tcPr>
          <w:p>
            <w:pPr>
              <w:spacing w:before="0" w:after="20" w:line="240" w:lineRule="auto"/>
            </w:pPr>
            <w:r>
              <w:rPr>
                <w:rFonts w:ascii="Arial" w:hAnsi="Arial" w:eastAsia="Arial"/>
                <w:color w:val="1F2937"/>
                <w:sz w:val="16"/>
              </w:rPr>
              <w:t>• Saying correlation proves causation.</w:t>
              <w:br/>
              <w:t>• Reporting calculator output without defining variables.</w:t>
              <w:br/>
              <w:t>• Interpreting a confidence interval as a probability about the fixed parameter after sampling.</w:t>
            </w:r>
          </w:p>
        </w:tc>
      </w:tr>
    </w:tbl>
    <w:p/>
    <w:p>
      <w:pPr>
        <w:pStyle w:val="Heading2"/>
        <w:spacing w:before="80" w:after="60" w:line="240" w:lineRule="auto"/>
      </w:pPr>
      <w:r>
        <w:t>Topic 5 - Calculus</w:t>
      </w:r>
    </w:p>
    <w:tbl>
      <w:tblPr>
        <w:tblStyle w:val="TableGrid"/>
        <w:tblW w:type="auto" w:w="0"/>
        <w:jc w:val="center"/>
        <w:tblLook w:firstColumn="1" w:firstRow="1" w:lastColumn="0" w:lastRow="0" w:noHBand="0" w:noVBand="1" w:val="04A0"/>
      </w:tblPr>
      <w:tblGrid>
        <w:gridCol w:w="5256"/>
        <w:gridCol w:w="5256"/>
      </w:tblGrid>
      <w:tr>
        <w:trPr>
          <w:tblHeader w:val="true"/>
        </w:trPr>
        <w:tc>
          <w:tcPr>
            <w:tcW w:type="dxa" w:w="2160"/>
            <w:shd w:fill="0E9AA7"/>
            <w:vAlign w:val="center"/>
          </w:tcPr>
          <w:p>
            <w:pPr>
              <w:spacing w:before="0" w:after="20" w:line="240" w:lineRule="auto"/>
            </w:pPr>
            <w:r>
              <w:rPr>
                <w:b/>
                <w:color w:val="FFFFFF"/>
                <w:sz w:val="16"/>
              </w:rPr>
              <w:t>Focus</w:t>
            </w:r>
          </w:p>
        </w:tc>
        <w:tc>
          <w:tcPr>
            <w:tcW w:type="dxa" w:w="7632"/>
            <w:shd w:fill="0E9AA7"/>
            <w:vAlign w:val="center"/>
          </w:tcPr>
          <w:p>
            <w:pPr>
              <w:spacing w:before="0" w:after="20" w:line="240" w:lineRule="auto"/>
            </w:pPr>
            <w:r>
              <w:rPr>
                <w:b/>
                <w:color w:val="FFFFFF"/>
                <w:sz w:val="16"/>
              </w:rPr>
              <w:t>What to do</w:t>
            </w:r>
          </w:p>
        </w:tc>
      </w:tr>
      <w:tr>
        <w:tc>
          <w:tcPr>
            <w:tcW w:type="dxa" w:w="2160"/>
            <w:vAlign w:val="center"/>
          </w:tcPr>
          <w:p>
            <w:pPr>
              <w:spacing w:before="0" w:after="20" w:line="240" w:lineRule="auto"/>
            </w:pPr>
            <w:r>
              <w:rPr>
                <w:rFonts w:ascii="Arial" w:hAnsi="Arial" w:eastAsia="Arial"/>
                <w:color w:val="1F2937"/>
                <w:sz w:val="16"/>
              </w:rPr>
              <w:t>SL core targets</w:t>
            </w:r>
          </w:p>
        </w:tc>
        <w:tc>
          <w:tcPr>
            <w:tcW w:type="dxa" w:w="7632"/>
            <w:vAlign w:val="center"/>
          </w:tcPr>
          <w:p>
            <w:pPr>
              <w:spacing w:before="0" w:after="20" w:line="240" w:lineRule="auto"/>
            </w:pPr>
            <w:r>
              <w:rPr>
                <w:rFonts w:ascii="Arial" w:hAnsi="Arial" w:eastAsia="Arial"/>
                <w:color w:val="1F2937"/>
                <w:sz w:val="16"/>
              </w:rPr>
              <w:t>• Interpret derivative as rate of change and gradient; use technology and rules for differentiation and integration.</w:t>
              <w:br/>
              <w:t>• Solve optimization and area/accumulation problems with a contextual conclusion.</w:t>
              <w:br/>
              <w:t>• Connect graphical, numerical, algebraic, and technological representations.</w:t>
            </w:r>
          </w:p>
        </w:tc>
      </w:tr>
      <w:tr>
        <w:tc>
          <w:tcPr>
            <w:tcW w:type="dxa" w:w="2160"/>
            <w:vAlign w:val="center"/>
            <w:shd w:fill="F8FAFC"/>
          </w:tcPr>
          <w:p>
            <w:pPr>
              <w:spacing w:before="0" w:after="20" w:line="240" w:lineRule="auto"/>
            </w:pPr>
            <w:r>
              <w:rPr>
                <w:rFonts w:ascii="Arial" w:hAnsi="Arial" w:eastAsia="Arial"/>
                <w:color w:val="1F2937"/>
                <w:sz w:val="16"/>
              </w:rPr>
              <w:t>HL extension targets</w:t>
            </w:r>
          </w:p>
        </w:tc>
        <w:tc>
          <w:tcPr>
            <w:tcW w:type="dxa" w:w="7632"/>
            <w:vAlign w:val="center"/>
            <w:shd w:fill="F8FAFC"/>
          </w:tcPr>
          <w:p>
            <w:pPr>
              <w:spacing w:before="0" w:after="20" w:line="240" w:lineRule="auto"/>
            </w:pPr>
            <w:r>
              <w:rPr>
                <w:rFonts w:ascii="Arial" w:hAnsi="Arial" w:eastAsia="Arial"/>
                <w:color w:val="1F2937"/>
                <w:sz w:val="16"/>
              </w:rPr>
              <w:t>• Use advanced derivatives and integrals, differential equations, slope fields, Euler's method, second derivatives, concavity, and kinematics.</w:t>
              <w:br/>
              <w:t>• Model rates and accumulation in realistic contexts and evaluate assumptions.</w:t>
            </w:r>
          </w:p>
        </w:tc>
      </w:tr>
      <w:tr>
        <w:tc>
          <w:tcPr>
            <w:tcW w:type="dxa" w:w="2160"/>
            <w:vAlign w:val="center"/>
          </w:tcPr>
          <w:p>
            <w:pPr>
              <w:spacing w:before="0" w:after="20" w:line="240" w:lineRule="auto"/>
            </w:pPr>
            <w:r>
              <w:rPr>
                <w:rFonts w:ascii="Arial" w:hAnsi="Arial" w:eastAsia="Arial"/>
                <w:color w:val="1F2937"/>
                <w:sz w:val="16"/>
              </w:rPr>
              <w:t>High-yield practice</w:t>
            </w:r>
          </w:p>
        </w:tc>
        <w:tc>
          <w:tcPr>
            <w:tcW w:type="dxa" w:w="7632"/>
            <w:vAlign w:val="center"/>
          </w:tcPr>
          <w:p>
            <w:pPr>
              <w:spacing w:before="0" w:after="20" w:line="240" w:lineRule="auto"/>
            </w:pPr>
            <w:r>
              <w:rPr>
                <w:rFonts w:ascii="Arial" w:hAnsi="Arial" w:eastAsia="Arial"/>
                <w:color w:val="1F2937"/>
                <w:sz w:val="16"/>
              </w:rPr>
              <w:t>• Maximize/minimize a contextual quantity with domain and second derivative or graph justification.</w:t>
              <w:br/>
              <w:t>• Area under a rate graph with units and meaning.</w:t>
              <w:br/>
              <w:t>• HL: differential-equation model solved numerically and interpreted.</w:t>
            </w:r>
          </w:p>
        </w:tc>
      </w:tr>
      <w:tr>
        <w:tc>
          <w:tcPr>
            <w:tcW w:type="dxa" w:w="2160"/>
            <w:vAlign w:val="center"/>
            <w:shd w:fill="F8FAFC"/>
          </w:tcPr>
          <w:p>
            <w:pPr>
              <w:spacing w:before="0" w:after="20" w:line="240" w:lineRule="auto"/>
            </w:pPr>
            <w:r>
              <w:rPr>
                <w:rFonts w:ascii="Arial" w:hAnsi="Arial" w:eastAsia="Arial"/>
                <w:color w:val="1F2937"/>
                <w:sz w:val="16"/>
              </w:rPr>
              <w:t>Common traps</w:t>
            </w:r>
          </w:p>
        </w:tc>
        <w:tc>
          <w:tcPr>
            <w:tcW w:type="dxa" w:w="7632"/>
            <w:vAlign w:val="center"/>
            <w:shd w:fill="F8FAFC"/>
          </w:tcPr>
          <w:p>
            <w:pPr>
              <w:spacing w:before="0" w:after="20" w:line="240" w:lineRule="auto"/>
            </w:pPr>
            <w:r>
              <w:rPr>
                <w:rFonts w:ascii="Arial" w:hAnsi="Arial" w:eastAsia="Arial"/>
                <w:color w:val="1F2937"/>
                <w:sz w:val="16"/>
              </w:rPr>
              <w:t>• Finding a derivative but not answering the original question.</w:t>
              <w:br/>
              <w:t>• Forgetting units for rates and accumulated quantities.</w:t>
              <w:br/>
              <w:t>• Rounding too early in multistep calculations.</w:t>
            </w:r>
          </w:p>
        </w:tc>
      </w:tr>
    </w:tbl>
    <w:p/>
    <w:p>
      <w:r>
        <w:br w:type="page"/>
      </w:r>
    </w:p>
    <w:p>
      <w:pPr>
        <w:pStyle w:val="Heading1"/>
        <w:spacing w:before="120" w:after="120" w:line="240" w:lineRule="auto"/>
      </w:pPr>
      <w:r>
        <w:t>5. Internal assessment / mathematical exploration</w:t>
      </w:r>
    </w:p>
    <w:p>
      <w:pPr>
        <w:spacing w:before="0" w:after="80" w:line="240" w:lineRule="auto"/>
      </w:pPr>
      <w:r>
        <w:t>A strong exploration has a focused problem, relevant mathematics, transparent assumptions, accurate computation, and interpretation that answers the original question. The student should choose a topic that can generate data, a model, or a mathematical comparison rather than a topic that only describes known facts.</w:t>
      </w:r>
    </w:p>
    <w:tbl>
      <w:tblPr>
        <w:tblStyle w:val="TableGrid"/>
        <w:tblW w:type="auto" w:w="0"/>
        <w:jc w:val="center"/>
        <w:tblLook w:firstColumn="1" w:firstRow="1" w:lastColumn="0" w:lastRow="0" w:noHBand="0" w:noVBand="1" w:val="04A0"/>
      </w:tblPr>
      <w:tblGrid>
        <w:gridCol w:w="5256"/>
        <w:gridCol w:w="5256"/>
      </w:tblGrid>
      <w:tr>
        <w:trPr>
          <w:tblHeader w:val="true"/>
        </w:trPr>
        <w:tc>
          <w:tcPr>
            <w:tcW w:type="dxa" w:w="2160"/>
            <w:shd w:fill="0B3954"/>
            <w:vAlign w:val="center"/>
          </w:tcPr>
          <w:p>
            <w:pPr>
              <w:spacing w:before="0" w:after="20" w:line="240" w:lineRule="auto"/>
            </w:pPr>
            <w:r>
              <w:rPr>
                <w:b/>
                <w:color w:val="FFFFFF"/>
                <w:sz w:val="17"/>
              </w:rPr>
              <w:t>Stage</w:t>
            </w:r>
          </w:p>
        </w:tc>
        <w:tc>
          <w:tcPr>
            <w:tcW w:type="dxa" w:w="7488"/>
            <w:shd w:fill="0B3954"/>
            <w:vAlign w:val="center"/>
          </w:tcPr>
          <w:p>
            <w:pPr>
              <w:spacing w:before="0" w:after="20" w:line="240" w:lineRule="auto"/>
            </w:pPr>
            <w:r>
              <w:rPr>
                <w:b/>
                <w:color w:val="FFFFFF"/>
                <w:sz w:val="17"/>
              </w:rPr>
              <w:t>Student action</w:t>
            </w:r>
          </w:p>
        </w:tc>
      </w:tr>
      <w:tr>
        <w:tc>
          <w:tcPr>
            <w:tcW w:type="dxa" w:w="2160"/>
            <w:vAlign w:val="center"/>
          </w:tcPr>
          <w:p>
            <w:pPr>
              <w:spacing w:before="0" w:after="20" w:line="240" w:lineRule="auto"/>
            </w:pPr>
            <w:r>
              <w:rPr>
                <w:rFonts w:ascii="Arial" w:hAnsi="Arial" w:eastAsia="Arial"/>
                <w:color w:val="1F2937"/>
                <w:sz w:val="17"/>
              </w:rPr>
              <w:t>1. Idea and feasibility</w:t>
            </w:r>
          </w:p>
        </w:tc>
        <w:tc>
          <w:tcPr>
            <w:tcW w:type="dxa" w:w="7488"/>
            <w:vAlign w:val="center"/>
          </w:tcPr>
          <w:p>
            <w:pPr>
              <w:spacing w:before="0" w:after="20" w:line="240" w:lineRule="auto"/>
            </w:pPr>
            <w:r>
              <w:rPr>
                <w:rFonts w:ascii="Arial" w:hAnsi="Arial" w:eastAsia="Arial"/>
                <w:color w:val="1F2937"/>
                <w:sz w:val="17"/>
              </w:rPr>
              <w:t>Choose a personally meaningful context and write a narrow mathematical question. Test whether the required data and mathematics are available.</w:t>
            </w:r>
          </w:p>
        </w:tc>
      </w:tr>
      <w:tr>
        <w:tc>
          <w:tcPr>
            <w:tcW w:type="dxa" w:w="2160"/>
            <w:vAlign w:val="center"/>
            <w:shd w:fill="F8FAFC"/>
          </w:tcPr>
          <w:p>
            <w:pPr>
              <w:spacing w:before="0" w:after="20" w:line="240" w:lineRule="auto"/>
            </w:pPr>
            <w:r>
              <w:rPr>
                <w:rFonts w:ascii="Arial" w:hAnsi="Arial" w:eastAsia="Arial"/>
                <w:color w:val="1F2937"/>
                <w:sz w:val="17"/>
              </w:rPr>
              <w:t>2. Problem specification</w:t>
            </w:r>
          </w:p>
        </w:tc>
        <w:tc>
          <w:tcPr>
            <w:tcW w:type="dxa" w:w="7488"/>
            <w:vAlign w:val="center"/>
            <w:shd w:fill="F8FAFC"/>
          </w:tcPr>
          <w:p>
            <w:pPr>
              <w:spacing w:before="0" w:after="20" w:line="240" w:lineRule="auto"/>
            </w:pPr>
            <w:r>
              <w:rPr>
                <w:rFonts w:ascii="Arial" w:hAnsi="Arial" w:eastAsia="Arial"/>
                <w:color w:val="1F2937"/>
                <w:sz w:val="17"/>
              </w:rPr>
              <w:t>Define variables, scope, assumptions, units, and what counts as a successful answer.</w:t>
            </w:r>
          </w:p>
        </w:tc>
      </w:tr>
      <w:tr>
        <w:tc>
          <w:tcPr>
            <w:tcW w:type="dxa" w:w="2160"/>
            <w:vAlign w:val="center"/>
          </w:tcPr>
          <w:p>
            <w:pPr>
              <w:spacing w:before="0" w:after="20" w:line="240" w:lineRule="auto"/>
            </w:pPr>
            <w:r>
              <w:rPr>
                <w:rFonts w:ascii="Arial" w:hAnsi="Arial" w:eastAsia="Arial"/>
                <w:color w:val="1F2937"/>
                <w:sz w:val="17"/>
              </w:rPr>
              <w:t>3. Mathematical plan</w:t>
            </w:r>
          </w:p>
        </w:tc>
        <w:tc>
          <w:tcPr>
            <w:tcW w:type="dxa" w:w="7488"/>
            <w:vAlign w:val="center"/>
          </w:tcPr>
          <w:p>
            <w:pPr>
              <w:spacing w:before="0" w:after="20" w:line="240" w:lineRule="auto"/>
            </w:pPr>
            <w:r>
              <w:rPr>
                <w:rFonts w:ascii="Arial" w:hAnsi="Arial" w:eastAsia="Arial"/>
                <w:color w:val="1F2937"/>
                <w:sz w:val="17"/>
              </w:rPr>
              <w:t>Select models or methods and explain why they fit the context. Plan technology use before collecting all results.</w:t>
            </w:r>
          </w:p>
        </w:tc>
      </w:tr>
      <w:tr>
        <w:tc>
          <w:tcPr>
            <w:tcW w:type="dxa" w:w="2160"/>
            <w:vAlign w:val="center"/>
            <w:shd w:fill="F8FAFC"/>
          </w:tcPr>
          <w:p>
            <w:pPr>
              <w:spacing w:before="0" w:after="20" w:line="240" w:lineRule="auto"/>
            </w:pPr>
            <w:r>
              <w:rPr>
                <w:rFonts w:ascii="Arial" w:hAnsi="Arial" w:eastAsia="Arial"/>
                <w:color w:val="1F2937"/>
                <w:sz w:val="17"/>
              </w:rPr>
              <w:t>4. Computation and representation</w:t>
            </w:r>
          </w:p>
        </w:tc>
        <w:tc>
          <w:tcPr>
            <w:tcW w:type="dxa" w:w="7488"/>
            <w:vAlign w:val="center"/>
            <w:shd w:fill="F8FAFC"/>
          </w:tcPr>
          <w:p>
            <w:pPr>
              <w:spacing w:before="0" w:after="20" w:line="240" w:lineRule="auto"/>
            </w:pPr>
            <w:r>
              <w:rPr>
                <w:rFonts w:ascii="Arial" w:hAnsi="Arial" w:eastAsia="Arial"/>
                <w:color w:val="1F2937"/>
                <w:sz w:val="17"/>
              </w:rPr>
              <w:t>Show enough working that a reader can follow the method; include tables, graphs, and calculator outputs only when they support reasoning.</w:t>
            </w:r>
          </w:p>
        </w:tc>
      </w:tr>
      <w:tr>
        <w:tc>
          <w:tcPr>
            <w:tcW w:type="dxa" w:w="2160"/>
            <w:vAlign w:val="center"/>
          </w:tcPr>
          <w:p>
            <w:pPr>
              <w:spacing w:before="0" w:after="20" w:line="240" w:lineRule="auto"/>
            </w:pPr>
            <w:r>
              <w:rPr>
                <w:rFonts w:ascii="Arial" w:hAnsi="Arial" w:eastAsia="Arial"/>
                <w:color w:val="1F2937"/>
                <w:sz w:val="17"/>
              </w:rPr>
              <w:t>5. Interpretation</w:t>
            </w:r>
          </w:p>
        </w:tc>
        <w:tc>
          <w:tcPr>
            <w:tcW w:type="dxa" w:w="7488"/>
            <w:vAlign w:val="center"/>
          </w:tcPr>
          <w:p>
            <w:pPr>
              <w:spacing w:before="0" w:after="20" w:line="240" w:lineRule="auto"/>
            </w:pPr>
            <w:r>
              <w:rPr>
                <w:rFonts w:ascii="Arial" w:hAnsi="Arial" w:eastAsia="Arial"/>
                <w:color w:val="1F2937"/>
                <w:sz w:val="17"/>
              </w:rPr>
              <w:t>Translate mathematical outputs into contextual conclusions. Discuss precision, limitations, assumptions, and possible improvements.</w:t>
            </w:r>
          </w:p>
        </w:tc>
      </w:tr>
      <w:tr>
        <w:tc>
          <w:tcPr>
            <w:tcW w:type="dxa" w:w="2160"/>
            <w:vAlign w:val="center"/>
            <w:shd w:fill="F8FAFC"/>
          </w:tcPr>
          <w:p>
            <w:pPr>
              <w:spacing w:before="0" w:after="20" w:line="240" w:lineRule="auto"/>
            </w:pPr>
            <w:r>
              <w:rPr>
                <w:rFonts w:ascii="Arial" w:hAnsi="Arial" w:eastAsia="Arial"/>
                <w:color w:val="1F2937"/>
                <w:sz w:val="17"/>
              </w:rPr>
              <w:t>6. Revision</w:t>
            </w:r>
          </w:p>
        </w:tc>
        <w:tc>
          <w:tcPr>
            <w:tcW w:type="dxa" w:w="7488"/>
            <w:vAlign w:val="center"/>
            <w:shd w:fill="F8FAFC"/>
          </w:tcPr>
          <w:p>
            <w:pPr>
              <w:spacing w:before="0" w:after="20" w:line="240" w:lineRule="auto"/>
            </w:pPr>
            <w:r>
              <w:rPr>
                <w:rFonts w:ascii="Arial" w:hAnsi="Arial" w:eastAsia="Arial"/>
                <w:color w:val="1F2937"/>
                <w:sz w:val="17"/>
              </w:rPr>
              <w:t>Use rubric language to revise: focus, mathematical quality, coherence, accuracy, interpretation, and reflection.</w:t>
            </w:r>
          </w:p>
        </w:tc>
      </w:tr>
    </w:tbl>
    <w:p/>
    <w:tbl>
      <w:tblPr>
        <w:tblW w:type="auto" w:w="0"/>
        <w:tblLook w:firstColumn="1" w:firstRow="1" w:lastColumn="0" w:lastRow="0" w:noHBand="0" w:noVBand="1" w:val="04A0"/>
      </w:tblPr>
      <w:tblGrid>
        <w:gridCol w:w="10512"/>
      </w:tblGrid>
      <w:tr>
        <w:tc>
          <w:tcPr>
            <w:tcW w:type="dxa" w:w="10512"/>
            <w:shd w:fill="FFF7ED"/>
            <w:tcBorders>
              <w:top w:sz="6" w:val="single" w:color="B7CBD5"/>
              <w:left w:sz="6" w:val="single" w:color="B7CBD5"/>
              <w:bottom w:sz="6" w:val="single" w:color="B7CBD5"/>
              <w:right w:sz="6" w:val="single" w:color="B7CBD5"/>
            </w:tcBorders>
          </w:tcPr>
          <w:p>
            <w:pPr>
              <w:spacing w:before="80" w:after="80" w:line="240" w:lineRule="auto"/>
            </w:pPr>
            <w:r>
              <w:rPr>
                <w:b/>
                <w:color w:val="0B3954"/>
                <w:sz w:val="21"/>
              </w:rPr>
              <w:t>Exploration red flags</w:t>
            </w:r>
            <w:r>
              <w:br/>
              <w:t>A topic is too broad, data are not credible, the mathematics is too simple for the course level, technology output is pasted without explanation, or the conclusion does not answer the question.</w:t>
            </w:r>
          </w:p>
        </w:tc>
      </w:tr>
    </w:tbl>
    <w:p/>
    <w:p>
      <w:pPr>
        <w:pStyle w:val="Heading2"/>
        <w:spacing w:before="80" w:after="60" w:line="240" w:lineRule="auto"/>
      </w:pPr>
      <w:r>
        <w:t>Exploration question starters</w:t>
      </w:r>
    </w:p>
    <w:p>
      <w:pPr>
        <w:pStyle w:val="ListBullet"/>
        <w:spacing w:before="0" w:after="40" w:line="240" w:lineRule="auto"/>
      </w:pPr>
      <w:r>
        <w:t>How well does a chosen function model a real dataset, and what do the parameters mean?</w:t>
      </w:r>
    </w:p>
    <w:p>
      <w:pPr>
        <w:pStyle w:val="ListBullet"/>
        <w:spacing w:before="0" w:after="40" w:line="240" w:lineRule="auto"/>
      </w:pPr>
      <w:r>
        <w:t>Which route, network, or allocation is optimal under stated constraints?</w:t>
      </w:r>
    </w:p>
    <w:p>
      <w:pPr>
        <w:pStyle w:val="ListBullet"/>
        <w:spacing w:before="0" w:after="40" w:line="240" w:lineRule="auto"/>
      </w:pPr>
      <w:r>
        <w:t>What is the probability or expected value in a decision context, and how sensitive is it to assumptions?</w:t>
      </w:r>
    </w:p>
    <w:p>
      <w:pPr>
        <w:pStyle w:val="ListBullet"/>
        <w:spacing w:before="0" w:after="40" w:line="240" w:lineRule="auto"/>
      </w:pPr>
      <w:r>
        <w:t>Does a sample provide evidence of a difference/association, and what are the limitations of that evidence?</w:t>
      </w:r>
    </w:p>
    <w:p>
      <w:pPr>
        <w:pStyle w:val="ListBullet"/>
        <w:spacing w:before="0" w:after="40" w:line="240" w:lineRule="auto"/>
      </w:pPr>
      <w:r>
        <w:t>HL: What long-run behaviour is predicted by a transition matrix or differential model?</w:t>
      </w:r>
    </w:p>
    <w:p>
      <w:r>
        <w:br w:type="page"/>
      </w:r>
    </w:p>
    <w:p>
      <w:pPr>
        <w:pStyle w:val="Heading1"/>
        <w:spacing w:before="120" w:after="120" w:line="240" w:lineRule="auto"/>
      </w:pPr>
      <w:r>
        <w:t>6. IB-style practice and assessment strategy</w:t>
      </w:r>
    </w:p>
    <w:p>
      <w:pPr>
        <w:spacing w:before="0" w:after="80" w:line="240" w:lineRule="auto"/>
      </w:pPr>
      <w:r>
        <w:t>Good AI practice should mix skills, contexts, command terms, technology, and written interpretation. A correct numerical answer without method, units, and reasoning is rarely enough for full credit.</w:t>
      </w:r>
    </w:p>
    <w:tbl>
      <w:tblPr>
        <w:tblStyle w:val="TableGrid"/>
        <w:tblW w:type="auto" w:w="0"/>
        <w:jc w:val="center"/>
        <w:tblLook w:firstColumn="1" w:firstRow="1" w:lastColumn="0" w:lastRow="0" w:noHBand="0" w:noVBand="1" w:val="04A0"/>
      </w:tblPr>
      <w:tblGrid>
        <w:gridCol w:w="3504"/>
        <w:gridCol w:w="3504"/>
        <w:gridCol w:w="3504"/>
      </w:tblGrid>
      <w:tr>
        <w:trPr>
          <w:tblHeader w:val="true"/>
        </w:trPr>
        <w:tc>
          <w:tcPr>
            <w:tcW w:type="dxa" w:w="1728"/>
            <w:shd w:fill="0E9AA7"/>
            <w:vAlign w:val="center"/>
          </w:tcPr>
          <w:p>
            <w:pPr>
              <w:spacing w:before="0" w:after="20" w:line="240" w:lineRule="auto"/>
            </w:pPr>
            <w:r>
              <w:rPr>
                <w:b/>
                <w:color w:val="FFFFFF"/>
                <w:sz w:val="16"/>
              </w:rPr>
              <w:t>Practice layer</w:t>
            </w:r>
          </w:p>
        </w:tc>
        <w:tc>
          <w:tcPr>
            <w:tcW w:type="dxa" w:w="4320"/>
            <w:shd w:fill="0E9AA7"/>
            <w:vAlign w:val="center"/>
          </w:tcPr>
          <w:p>
            <w:pPr>
              <w:spacing w:before="0" w:after="20" w:line="240" w:lineRule="auto"/>
            </w:pPr>
            <w:r>
              <w:rPr>
                <w:b/>
                <w:color w:val="FFFFFF"/>
                <w:sz w:val="16"/>
              </w:rPr>
              <w:t>Purpose</w:t>
            </w:r>
          </w:p>
        </w:tc>
        <w:tc>
          <w:tcPr>
            <w:tcW w:type="dxa" w:w="3600"/>
            <w:shd w:fill="0E9AA7"/>
            <w:vAlign w:val="center"/>
          </w:tcPr>
          <w:p>
            <w:pPr>
              <w:spacing w:before="0" w:after="20" w:line="240" w:lineRule="auto"/>
            </w:pPr>
            <w:r>
              <w:rPr>
                <w:b/>
                <w:color w:val="FFFFFF"/>
                <w:sz w:val="16"/>
              </w:rPr>
              <w:t>Evidence of progress</w:t>
            </w:r>
          </w:p>
        </w:tc>
      </w:tr>
      <w:tr>
        <w:tc>
          <w:tcPr>
            <w:tcW w:type="dxa" w:w="1728"/>
            <w:vAlign w:val="center"/>
          </w:tcPr>
          <w:p>
            <w:pPr>
              <w:spacing w:before="0" w:after="20" w:line="240" w:lineRule="auto"/>
            </w:pPr>
            <w:r>
              <w:rPr>
                <w:rFonts w:ascii="Arial" w:hAnsi="Arial" w:eastAsia="Arial"/>
                <w:color w:val="1F2937"/>
                <w:sz w:val="16"/>
              </w:rPr>
              <w:t>Fluency</w:t>
            </w:r>
          </w:p>
        </w:tc>
        <w:tc>
          <w:tcPr>
            <w:tcW w:type="dxa" w:w="4320"/>
            <w:vAlign w:val="center"/>
          </w:tcPr>
          <w:p>
            <w:pPr>
              <w:spacing w:before="0" w:after="20" w:line="240" w:lineRule="auto"/>
            </w:pPr>
            <w:r>
              <w:rPr>
                <w:rFonts w:ascii="Arial" w:hAnsi="Arial" w:eastAsia="Arial"/>
                <w:color w:val="1F2937"/>
                <w:sz w:val="16"/>
              </w:rPr>
              <w:t>Short targeted drills on one method.</w:t>
            </w:r>
          </w:p>
        </w:tc>
        <w:tc>
          <w:tcPr>
            <w:tcW w:type="dxa" w:w="3600"/>
            <w:vAlign w:val="center"/>
          </w:tcPr>
          <w:p>
            <w:pPr>
              <w:spacing w:before="0" w:after="20" w:line="240" w:lineRule="auto"/>
            </w:pPr>
            <w:r>
              <w:rPr>
                <w:rFonts w:ascii="Arial" w:hAnsi="Arial" w:eastAsia="Arial"/>
                <w:color w:val="1F2937"/>
                <w:sz w:val="16"/>
              </w:rPr>
              <w:t>10-20 minutes; mark immediately; repeat errors.</w:t>
            </w:r>
          </w:p>
        </w:tc>
      </w:tr>
      <w:tr>
        <w:tc>
          <w:tcPr>
            <w:tcW w:type="dxa" w:w="1728"/>
            <w:vAlign w:val="center"/>
            <w:shd w:fill="F8FAFC"/>
          </w:tcPr>
          <w:p>
            <w:pPr>
              <w:spacing w:before="0" w:after="20" w:line="240" w:lineRule="auto"/>
            </w:pPr>
            <w:r>
              <w:rPr>
                <w:rFonts w:ascii="Arial" w:hAnsi="Arial" w:eastAsia="Arial"/>
                <w:color w:val="1F2937"/>
                <w:sz w:val="16"/>
              </w:rPr>
              <w:t>Context</w:t>
            </w:r>
          </w:p>
        </w:tc>
        <w:tc>
          <w:tcPr>
            <w:tcW w:type="dxa" w:w="4320"/>
            <w:vAlign w:val="center"/>
            <w:shd w:fill="F8FAFC"/>
          </w:tcPr>
          <w:p>
            <w:pPr>
              <w:spacing w:before="0" w:after="20" w:line="240" w:lineRule="auto"/>
            </w:pPr>
            <w:r>
              <w:rPr>
                <w:rFonts w:ascii="Arial" w:hAnsi="Arial" w:eastAsia="Arial"/>
                <w:color w:val="1F2937"/>
                <w:sz w:val="16"/>
              </w:rPr>
              <w:t>One real situation with units, assumptions, and calculator use.</w:t>
            </w:r>
          </w:p>
        </w:tc>
        <w:tc>
          <w:tcPr>
            <w:tcW w:type="dxa" w:w="3600"/>
            <w:vAlign w:val="center"/>
            <w:shd w:fill="F8FAFC"/>
          </w:tcPr>
          <w:p>
            <w:pPr>
              <w:spacing w:before="0" w:after="20" w:line="240" w:lineRule="auto"/>
            </w:pPr>
            <w:r>
              <w:rPr>
                <w:rFonts w:ascii="Arial" w:hAnsi="Arial" w:eastAsia="Arial"/>
                <w:color w:val="1F2937"/>
                <w:sz w:val="16"/>
              </w:rPr>
              <w:t>Write a sentence explaining the result.</w:t>
            </w:r>
          </w:p>
        </w:tc>
      </w:tr>
      <w:tr>
        <w:tc>
          <w:tcPr>
            <w:tcW w:type="dxa" w:w="1728"/>
            <w:vAlign w:val="center"/>
          </w:tcPr>
          <w:p>
            <w:pPr>
              <w:spacing w:before="0" w:after="20" w:line="240" w:lineRule="auto"/>
            </w:pPr>
            <w:r>
              <w:rPr>
                <w:rFonts w:ascii="Arial" w:hAnsi="Arial" w:eastAsia="Arial"/>
                <w:color w:val="1F2937"/>
                <w:sz w:val="16"/>
              </w:rPr>
              <w:t>IB style</w:t>
            </w:r>
          </w:p>
        </w:tc>
        <w:tc>
          <w:tcPr>
            <w:tcW w:type="dxa" w:w="4320"/>
            <w:vAlign w:val="center"/>
          </w:tcPr>
          <w:p>
            <w:pPr>
              <w:spacing w:before="0" w:after="20" w:line="240" w:lineRule="auto"/>
            </w:pPr>
            <w:r>
              <w:rPr>
                <w:rFonts w:ascii="Arial" w:hAnsi="Arial" w:eastAsia="Arial"/>
                <w:color w:val="1F2937"/>
                <w:sz w:val="16"/>
              </w:rPr>
              <w:t>Multi-part item with command terms and marks.</w:t>
            </w:r>
          </w:p>
        </w:tc>
        <w:tc>
          <w:tcPr>
            <w:tcW w:type="dxa" w:w="3600"/>
            <w:vAlign w:val="center"/>
          </w:tcPr>
          <w:p>
            <w:pPr>
              <w:spacing w:before="0" w:after="20" w:line="240" w:lineRule="auto"/>
            </w:pPr>
            <w:r>
              <w:rPr>
                <w:rFonts w:ascii="Arial" w:hAnsi="Arial" w:eastAsia="Arial"/>
                <w:color w:val="1F2937"/>
                <w:sz w:val="16"/>
              </w:rPr>
              <w:t>Allocate time by marks; show method and interpretation.</w:t>
            </w:r>
          </w:p>
        </w:tc>
      </w:tr>
      <w:tr>
        <w:tc>
          <w:tcPr>
            <w:tcW w:type="dxa" w:w="1728"/>
            <w:vAlign w:val="center"/>
            <w:shd w:fill="F8FAFC"/>
          </w:tcPr>
          <w:p>
            <w:pPr>
              <w:spacing w:before="0" w:after="20" w:line="240" w:lineRule="auto"/>
            </w:pPr>
            <w:r>
              <w:rPr>
                <w:rFonts w:ascii="Arial" w:hAnsi="Arial" w:eastAsia="Arial"/>
                <w:color w:val="1F2937"/>
                <w:sz w:val="16"/>
              </w:rPr>
              <w:t>Mixed review</w:t>
            </w:r>
          </w:p>
        </w:tc>
        <w:tc>
          <w:tcPr>
            <w:tcW w:type="dxa" w:w="4320"/>
            <w:vAlign w:val="center"/>
            <w:shd w:fill="F8FAFC"/>
          </w:tcPr>
          <w:p>
            <w:pPr>
              <w:spacing w:before="0" w:after="20" w:line="240" w:lineRule="auto"/>
            </w:pPr>
            <w:r>
              <w:rPr>
                <w:rFonts w:ascii="Arial" w:hAnsi="Arial" w:eastAsia="Arial"/>
                <w:color w:val="1F2937"/>
                <w:sz w:val="16"/>
              </w:rPr>
              <w:t>Questions from previous units.</w:t>
            </w:r>
          </w:p>
        </w:tc>
        <w:tc>
          <w:tcPr>
            <w:tcW w:type="dxa" w:w="3600"/>
            <w:vAlign w:val="center"/>
            <w:shd w:fill="F8FAFC"/>
          </w:tcPr>
          <w:p>
            <w:pPr>
              <w:spacing w:before="0" w:after="20" w:line="240" w:lineRule="auto"/>
            </w:pPr>
            <w:r>
              <w:rPr>
                <w:rFonts w:ascii="Arial" w:hAnsi="Arial" w:eastAsia="Arial"/>
                <w:color w:val="1F2937"/>
                <w:sz w:val="16"/>
              </w:rPr>
              <w:t>Protect retrieval: no notes until after first attempt.</w:t>
            </w:r>
          </w:p>
        </w:tc>
      </w:tr>
      <w:tr>
        <w:tc>
          <w:tcPr>
            <w:tcW w:type="dxa" w:w="1728"/>
            <w:vAlign w:val="center"/>
          </w:tcPr>
          <w:p>
            <w:pPr>
              <w:spacing w:before="0" w:after="20" w:line="240" w:lineRule="auto"/>
            </w:pPr>
            <w:r>
              <w:rPr>
                <w:rFonts w:ascii="Arial" w:hAnsi="Arial" w:eastAsia="Arial"/>
                <w:color w:val="1F2937"/>
                <w:sz w:val="16"/>
              </w:rPr>
              <w:t>Paper 3 / HL inquiry</w:t>
            </w:r>
          </w:p>
        </w:tc>
        <w:tc>
          <w:tcPr>
            <w:tcW w:type="dxa" w:w="4320"/>
            <w:vAlign w:val="center"/>
          </w:tcPr>
          <w:p>
            <w:pPr>
              <w:spacing w:before="0" w:after="20" w:line="240" w:lineRule="auto"/>
            </w:pPr>
            <w:r>
              <w:rPr>
                <w:rFonts w:ascii="Arial" w:hAnsi="Arial" w:eastAsia="Arial"/>
                <w:color w:val="1F2937"/>
                <w:sz w:val="16"/>
              </w:rPr>
              <w:t>Longer connected problem with scaffolding removed.</w:t>
            </w:r>
          </w:p>
        </w:tc>
        <w:tc>
          <w:tcPr>
            <w:tcW w:type="dxa" w:w="3600"/>
            <w:vAlign w:val="center"/>
          </w:tcPr>
          <w:p>
            <w:pPr>
              <w:spacing w:before="0" w:after="20" w:line="240" w:lineRule="auto"/>
            </w:pPr>
            <w:r>
              <w:rPr>
                <w:rFonts w:ascii="Arial" w:hAnsi="Arial" w:eastAsia="Arial"/>
                <w:color w:val="1F2937"/>
                <w:sz w:val="16"/>
              </w:rPr>
              <w:t>Plan, test, revise, and present a coherent solution path.</w:t>
            </w:r>
          </w:p>
        </w:tc>
      </w:tr>
    </w:tbl>
    <w:p/>
    <w:p>
      <w:pPr>
        <w:pStyle w:val="Heading2"/>
        <w:spacing w:before="80" w:after="60" w:line="240" w:lineRule="auto"/>
      </w:pPr>
      <w:r>
        <w:t>Command term habits</w:t>
      </w:r>
    </w:p>
    <w:tbl>
      <w:tblPr>
        <w:tblStyle w:val="TableGrid"/>
        <w:tblW w:type="auto" w:w="0"/>
        <w:jc w:val="center"/>
        <w:tblLook w:firstColumn="1" w:firstRow="1" w:lastColumn="0" w:lastRow="0" w:noHBand="0" w:noVBand="1" w:val="04A0"/>
      </w:tblPr>
      <w:tblGrid>
        <w:gridCol w:w="3504"/>
        <w:gridCol w:w="3504"/>
        <w:gridCol w:w="3504"/>
      </w:tblGrid>
      <w:tr>
        <w:trPr>
          <w:tblHeader w:val="true"/>
        </w:trPr>
        <w:tc>
          <w:tcPr>
            <w:tcW w:type="dxa" w:w="1584"/>
            <w:shd w:fill="0B3954"/>
            <w:vAlign w:val="center"/>
          </w:tcPr>
          <w:p>
            <w:pPr>
              <w:spacing w:before="0" w:after="20" w:line="240" w:lineRule="auto"/>
            </w:pPr>
            <w:r>
              <w:rPr>
                <w:b/>
                <w:color w:val="FFFFFF"/>
                <w:sz w:val="15"/>
              </w:rPr>
              <w:t>Command term</w:t>
            </w:r>
          </w:p>
        </w:tc>
        <w:tc>
          <w:tcPr>
            <w:tcW w:type="dxa" w:w="4896"/>
            <w:shd w:fill="0B3954"/>
            <w:vAlign w:val="center"/>
          </w:tcPr>
          <w:p>
            <w:pPr>
              <w:spacing w:before="0" w:after="20" w:line="240" w:lineRule="auto"/>
            </w:pPr>
            <w:r>
              <w:rPr>
                <w:b/>
                <w:color w:val="FFFFFF"/>
                <w:sz w:val="15"/>
              </w:rPr>
              <w:t>What your answer must contain</w:t>
            </w:r>
          </w:p>
        </w:tc>
        <w:tc>
          <w:tcPr>
            <w:tcW w:type="dxa" w:w="3312"/>
            <w:shd w:fill="0B3954"/>
            <w:vAlign w:val="center"/>
          </w:tcPr>
          <w:p>
            <w:pPr>
              <w:spacing w:before="0" w:after="20" w:line="240" w:lineRule="auto"/>
            </w:pPr>
            <w:r>
              <w:rPr>
                <w:b/>
                <w:color w:val="FFFFFF"/>
                <w:sz w:val="15"/>
              </w:rPr>
              <w:t>Student prompt</w:t>
            </w:r>
          </w:p>
        </w:tc>
      </w:tr>
      <w:tr>
        <w:tc>
          <w:tcPr>
            <w:tcW w:type="dxa" w:w="1584"/>
            <w:vAlign w:val="center"/>
          </w:tcPr>
          <w:p>
            <w:pPr>
              <w:spacing w:before="0" w:after="20" w:line="240" w:lineRule="auto"/>
            </w:pPr>
            <w:r>
              <w:rPr>
                <w:rFonts w:ascii="Arial" w:hAnsi="Arial" w:eastAsia="Arial"/>
                <w:color w:val="1F2937"/>
                <w:sz w:val="15"/>
              </w:rPr>
              <w:t>Calculate</w:t>
            </w:r>
          </w:p>
        </w:tc>
        <w:tc>
          <w:tcPr>
            <w:tcW w:type="dxa" w:w="4896"/>
            <w:vAlign w:val="center"/>
          </w:tcPr>
          <w:p>
            <w:pPr>
              <w:spacing w:before="0" w:after="20" w:line="240" w:lineRule="auto"/>
            </w:pPr>
            <w:r>
              <w:rPr>
                <w:rFonts w:ascii="Arial" w:hAnsi="Arial" w:eastAsia="Arial"/>
                <w:color w:val="1F2937"/>
                <w:sz w:val="15"/>
              </w:rPr>
              <w:t>Obtain a numerical answer, showing enough working to justify method.</w:t>
            </w:r>
          </w:p>
        </w:tc>
        <w:tc>
          <w:tcPr>
            <w:tcW w:type="dxa" w:w="3312"/>
            <w:vAlign w:val="center"/>
          </w:tcPr>
          <w:p>
            <w:pPr>
              <w:spacing w:before="0" w:after="20" w:line="240" w:lineRule="auto"/>
            </w:pPr>
            <w:r>
              <w:rPr>
                <w:rFonts w:ascii="Arial" w:hAnsi="Arial" w:eastAsia="Arial"/>
                <w:color w:val="1F2937"/>
                <w:sz w:val="15"/>
              </w:rPr>
              <w:t>Calculation only with no units/context.</w:t>
            </w:r>
          </w:p>
        </w:tc>
      </w:tr>
      <w:tr>
        <w:tc>
          <w:tcPr>
            <w:tcW w:type="dxa" w:w="1584"/>
            <w:vAlign w:val="center"/>
            <w:shd w:fill="F8FAFC"/>
          </w:tcPr>
          <w:p>
            <w:pPr>
              <w:spacing w:before="0" w:after="20" w:line="240" w:lineRule="auto"/>
            </w:pPr>
            <w:r>
              <w:rPr>
                <w:rFonts w:ascii="Arial" w:hAnsi="Arial" w:eastAsia="Arial"/>
                <w:color w:val="1F2937"/>
                <w:sz w:val="15"/>
              </w:rPr>
              <w:t>Determine</w:t>
            </w:r>
          </w:p>
        </w:tc>
        <w:tc>
          <w:tcPr>
            <w:tcW w:type="dxa" w:w="4896"/>
            <w:vAlign w:val="center"/>
            <w:shd w:fill="F8FAFC"/>
          </w:tcPr>
          <w:p>
            <w:pPr>
              <w:spacing w:before="0" w:after="20" w:line="240" w:lineRule="auto"/>
            </w:pPr>
            <w:r>
              <w:rPr>
                <w:rFonts w:ascii="Arial" w:hAnsi="Arial" w:eastAsia="Arial"/>
                <w:color w:val="1F2937"/>
                <w:sz w:val="15"/>
              </w:rPr>
              <w:t>Find the only possible answer, often requiring method or reasoning.</w:t>
            </w:r>
          </w:p>
        </w:tc>
        <w:tc>
          <w:tcPr>
            <w:tcW w:type="dxa" w:w="3312"/>
            <w:vAlign w:val="center"/>
            <w:shd w:fill="F8FAFC"/>
          </w:tcPr>
          <w:p>
            <w:pPr>
              <w:spacing w:before="0" w:after="20" w:line="240" w:lineRule="auto"/>
            </w:pPr>
            <w:r>
              <w:rPr>
                <w:rFonts w:ascii="Arial" w:hAnsi="Arial" w:eastAsia="Arial"/>
                <w:color w:val="1F2937"/>
                <w:sz w:val="15"/>
              </w:rPr>
              <w:t>Guessing from graph without support.</w:t>
            </w:r>
          </w:p>
        </w:tc>
      </w:tr>
      <w:tr>
        <w:tc>
          <w:tcPr>
            <w:tcW w:type="dxa" w:w="1584"/>
            <w:vAlign w:val="center"/>
          </w:tcPr>
          <w:p>
            <w:pPr>
              <w:spacing w:before="0" w:after="20" w:line="240" w:lineRule="auto"/>
            </w:pPr>
            <w:r>
              <w:rPr>
                <w:rFonts w:ascii="Arial" w:hAnsi="Arial" w:eastAsia="Arial"/>
                <w:color w:val="1F2937"/>
                <w:sz w:val="15"/>
              </w:rPr>
              <w:t>Find</w:t>
            </w:r>
          </w:p>
        </w:tc>
        <w:tc>
          <w:tcPr>
            <w:tcW w:type="dxa" w:w="4896"/>
            <w:vAlign w:val="center"/>
          </w:tcPr>
          <w:p>
            <w:pPr>
              <w:spacing w:before="0" w:after="20" w:line="240" w:lineRule="auto"/>
            </w:pPr>
            <w:r>
              <w:rPr>
                <w:rFonts w:ascii="Arial" w:hAnsi="Arial" w:eastAsia="Arial"/>
                <w:color w:val="1F2937"/>
                <w:sz w:val="15"/>
              </w:rPr>
              <w:t>Obtain a value, expression, or equation.</w:t>
            </w:r>
          </w:p>
        </w:tc>
        <w:tc>
          <w:tcPr>
            <w:tcW w:type="dxa" w:w="3312"/>
            <w:vAlign w:val="center"/>
          </w:tcPr>
          <w:p>
            <w:pPr>
              <w:spacing w:before="0" w:after="20" w:line="240" w:lineRule="auto"/>
            </w:pPr>
            <w:r>
              <w:rPr>
                <w:rFonts w:ascii="Arial" w:hAnsi="Arial" w:eastAsia="Arial"/>
                <w:color w:val="1F2937"/>
                <w:sz w:val="15"/>
              </w:rPr>
              <w:t>Not stating domain/units when relevant.</w:t>
            </w:r>
          </w:p>
        </w:tc>
      </w:tr>
      <w:tr>
        <w:tc>
          <w:tcPr>
            <w:tcW w:type="dxa" w:w="1584"/>
            <w:vAlign w:val="center"/>
            <w:shd w:fill="F8FAFC"/>
          </w:tcPr>
          <w:p>
            <w:pPr>
              <w:spacing w:before="0" w:after="20" w:line="240" w:lineRule="auto"/>
            </w:pPr>
            <w:r>
              <w:rPr>
                <w:rFonts w:ascii="Arial" w:hAnsi="Arial" w:eastAsia="Arial"/>
                <w:color w:val="1F2937"/>
                <w:sz w:val="15"/>
              </w:rPr>
              <w:t>Show that</w:t>
            </w:r>
          </w:p>
        </w:tc>
        <w:tc>
          <w:tcPr>
            <w:tcW w:type="dxa" w:w="4896"/>
            <w:vAlign w:val="center"/>
            <w:shd w:fill="F8FAFC"/>
          </w:tcPr>
          <w:p>
            <w:pPr>
              <w:spacing w:before="0" w:after="20" w:line="240" w:lineRule="auto"/>
            </w:pPr>
            <w:r>
              <w:rPr>
                <w:rFonts w:ascii="Arial" w:hAnsi="Arial" w:eastAsia="Arial"/>
                <w:color w:val="1F2937"/>
                <w:sz w:val="15"/>
              </w:rPr>
              <w:t>Demonstrate a given result using valid steps.</w:t>
            </w:r>
          </w:p>
        </w:tc>
        <w:tc>
          <w:tcPr>
            <w:tcW w:type="dxa" w:w="3312"/>
            <w:vAlign w:val="center"/>
            <w:shd w:fill="F8FAFC"/>
          </w:tcPr>
          <w:p>
            <w:pPr>
              <w:spacing w:before="0" w:after="20" w:line="240" w:lineRule="auto"/>
            </w:pPr>
            <w:r>
              <w:rPr>
                <w:rFonts w:ascii="Arial" w:hAnsi="Arial" w:eastAsia="Arial"/>
                <w:color w:val="1F2937"/>
                <w:sz w:val="15"/>
              </w:rPr>
              <w:t>Using the result as if proved.</w:t>
            </w:r>
          </w:p>
        </w:tc>
      </w:tr>
      <w:tr>
        <w:tc>
          <w:tcPr>
            <w:tcW w:type="dxa" w:w="1584"/>
            <w:vAlign w:val="center"/>
          </w:tcPr>
          <w:p>
            <w:pPr>
              <w:spacing w:before="0" w:after="20" w:line="240" w:lineRule="auto"/>
            </w:pPr>
            <w:r>
              <w:rPr>
                <w:rFonts w:ascii="Arial" w:hAnsi="Arial" w:eastAsia="Arial"/>
                <w:color w:val="1F2937"/>
                <w:sz w:val="15"/>
              </w:rPr>
              <w:t>Justify</w:t>
            </w:r>
          </w:p>
        </w:tc>
        <w:tc>
          <w:tcPr>
            <w:tcW w:type="dxa" w:w="4896"/>
            <w:vAlign w:val="center"/>
          </w:tcPr>
          <w:p>
            <w:pPr>
              <w:spacing w:before="0" w:after="20" w:line="240" w:lineRule="auto"/>
            </w:pPr>
            <w:r>
              <w:rPr>
                <w:rFonts w:ascii="Arial" w:hAnsi="Arial" w:eastAsia="Arial"/>
                <w:color w:val="1F2937"/>
                <w:sz w:val="15"/>
              </w:rPr>
              <w:t>Give mathematical reasons that support a choice or conclusion.</w:t>
            </w:r>
          </w:p>
        </w:tc>
        <w:tc>
          <w:tcPr>
            <w:tcW w:type="dxa" w:w="3312"/>
            <w:vAlign w:val="center"/>
          </w:tcPr>
          <w:p>
            <w:pPr>
              <w:spacing w:before="0" w:after="20" w:line="240" w:lineRule="auto"/>
            </w:pPr>
            <w:r>
              <w:rPr>
                <w:rFonts w:ascii="Arial" w:hAnsi="Arial" w:eastAsia="Arial"/>
                <w:color w:val="1F2937"/>
                <w:sz w:val="15"/>
              </w:rPr>
              <w:t>Stating preference only.</w:t>
            </w:r>
          </w:p>
        </w:tc>
      </w:tr>
      <w:tr>
        <w:tc>
          <w:tcPr>
            <w:tcW w:type="dxa" w:w="1584"/>
            <w:vAlign w:val="center"/>
            <w:shd w:fill="F8FAFC"/>
          </w:tcPr>
          <w:p>
            <w:pPr>
              <w:spacing w:before="0" w:after="20" w:line="240" w:lineRule="auto"/>
            </w:pPr>
            <w:r>
              <w:rPr>
                <w:rFonts w:ascii="Arial" w:hAnsi="Arial" w:eastAsia="Arial"/>
                <w:color w:val="1F2937"/>
                <w:sz w:val="15"/>
              </w:rPr>
              <w:t>Explain</w:t>
            </w:r>
          </w:p>
        </w:tc>
        <w:tc>
          <w:tcPr>
            <w:tcW w:type="dxa" w:w="4896"/>
            <w:vAlign w:val="center"/>
            <w:shd w:fill="F8FAFC"/>
          </w:tcPr>
          <w:p>
            <w:pPr>
              <w:spacing w:before="0" w:after="20" w:line="240" w:lineRule="auto"/>
            </w:pPr>
            <w:r>
              <w:rPr>
                <w:rFonts w:ascii="Arial" w:hAnsi="Arial" w:eastAsia="Arial"/>
                <w:color w:val="1F2937"/>
                <w:sz w:val="15"/>
              </w:rPr>
              <w:t>Make reasoning clear in words and mathematics.</w:t>
            </w:r>
          </w:p>
        </w:tc>
        <w:tc>
          <w:tcPr>
            <w:tcW w:type="dxa" w:w="3312"/>
            <w:vAlign w:val="center"/>
            <w:shd w:fill="F8FAFC"/>
          </w:tcPr>
          <w:p>
            <w:pPr>
              <w:spacing w:before="0" w:after="20" w:line="240" w:lineRule="auto"/>
            </w:pPr>
            <w:r>
              <w:rPr>
                <w:rFonts w:ascii="Arial" w:hAnsi="Arial" w:eastAsia="Arial"/>
                <w:color w:val="1F2937"/>
                <w:sz w:val="15"/>
              </w:rPr>
              <w:t>Too few words; no context.</w:t>
            </w:r>
          </w:p>
        </w:tc>
      </w:tr>
      <w:tr>
        <w:tc>
          <w:tcPr>
            <w:tcW w:type="dxa" w:w="1584"/>
            <w:vAlign w:val="center"/>
          </w:tcPr>
          <w:p>
            <w:pPr>
              <w:spacing w:before="0" w:after="20" w:line="240" w:lineRule="auto"/>
            </w:pPr>
            <w:r>
              <w:rPr>
                <w:rFonts w:ascii="Arial" w:hAnsi="Arial" w:eastAsia="Arial"/>
                <w:color w:val="1F2937"/>
                <w:sz w:val="15"/>
              </w:rPr>
              <w:t>Interpret</w:t>
            </w:r>
          </w:p>
        </w:tc>
        <w:tc>
          <w:tcPr>
            <w:tcW w:type="dxa" w:w="4896"/>
            <w:vAlign w:val="center"/>
          </w:tcPr>
          <w:p>
            <w:pPr>
              <w:spacing w:before="0" w:after="20" w:line="240" w:lineRule="auto"/>
            </w:pPr>
            <w:r>
              <w:rPr>
                <w:rFonts w:ascii="Arial" w:hAnsi="Arial" w:eastAsia="Arial"/>
                <w:color w:val="1F2937"/>
                <w:sz w:val="15"/>
              </w:rPr>
              <w:t>Translate mathematical output into the original context.</w:t>
            </w:r>
          </w:p>
        </w:tc>
        <w:tc>
          <w:tcPr>
            <w:tcW w:type="dxa" w:w="3312"/>
            <w:vAlign w:val="center"/>
          </w:tcPr>
          <w:p>
            <w:pPr>
              <w:spacing w:before="0" w:after="20" w:line="240" w:lineRule="auto"/>
            </w:pPr>
            <w:r>
              <w:rPr>
                <w:rFonts w:ascii="Arial" w:hAnsi="Arial" w:eastAsia="Arial"/>
                <w:color w:val="1F2937"/>
                <w:sz w:val="15"/>
              </w:rPr>
              <w:t>Repeating a number without meaning.</w:t>
            </w:r>
          </w:p>
        </w:tc>
      </w:tr>
      <w:tr>
        <w:tc>
          <w:tcPr>
            <w:tcW w:type="dxa" w:w="1584"/>
            <w:vAlign w:val="center"/>
            <w:shd w:fill="F8FAFC"/>
          </w:tcPr>
          <w:p>
            <w:pPr>
              <w:spacing w:before="0" w:after="20" w:line="240" w:lineRule="auto"/>
            </w:pPr>
            <w:r>
              <w:rPr>
                <w:rFonts w:ascii="Arial" w:hAnsi="Arial" w:eastAsia="Arial"/>
                <w:color w:val="1F2937"/>
                <w:sz w:val="15"/>
              </w:rPr>
              <w:t>Sketch</w:t>
            </w:r>
          </w:p>
        </w:tc>
        <w:tc>
          <w:tcPr>
            <w:tcW w:type="dxa" w:w="4896"/>
            <w:vAlign w:val="center"/>
            <w:shd w:fill="F8FAFC"/>
          </w:tcPr>
          <w:p>
            <w:pPr>
              <w:spacing w:before="0" w:after="20" w:line="240" w:lineRule="auto"/>
            </w:pPr>
            <w:r>
              <w:rPr>
                <w:rFonts w:ascii="Arial" w:hAnsi="Arial" w:eastAsia="Arial"/>
                <w:color w:val="1F2937"/>
                <w:sz w:val="15"/>
              </w:rPr>
              <w:t>Draw the key features without exact scale unless specified.</w:t>
            </w:r>
          </w:p>
        </w:tc>
        <w:tc>
          <w:tcPr>
            <w:tcW w:type="dxa" w:w="3312"/>
            <w:vAlign w:val="center"/>
            <w:shd w:fill="F8FAFC"/>
          </w:tcPr>
          <w:p>
            <w:pPr>
              <w:spacing w:before="0" w:after="20" w:line="240" w:lineRule="auto"/>
            </w:pPr>
            <w:r>
              <w:rPr>
                <w:rFonts w:ascii="Arial" w:hAnsi="Arial" w:eastAsia="Arial"/>
                <w:color w:val="1F2937"/>
                <w:sz w:val="15"/>
              </w:rPr>
              <w:t>No labels/intercepts/asymptotes.</w:t>
            </w:r>
          </w:p>
        </w:tc>
      </w:tr>
      <w:tr>
        <w:tc>
          <w:tcPr>
            <w:tcW w:type="dxa" w:w="1584"/>
            <w:vAlign w:val="center"/>
          </w:tcPr>
          <w:p>
            <w:pPr>
              <w:spacing w:before="0" w:after="20" w:line="240" w:lineRule="auto"/>
            </w:pPr>
            <w:r>
              <w:rPr>
                <w:rFonts w:ascii="Arial" w:hAnsi="Arial" w:eastAsia="Arial"/>
                <w:color w:val="1F2937"/>
                <w:sz w:val="15"/>
              </w:rPr>
              <w:t>Evaluate</w:t>
            </w:r>
          </w:p>
        </w:tc>
        <w:tc>
          <w:tcPr>
            <w:tcW w:type="dxa" w:w="4896"/>
            <w:vAlign w:val="center"/>
          </w:tcPr>
          <w:p>
            <w:pPr>
              <w:spacing w:before="0" w:after="20" w:line="240" w:lineRule="auto"/>
            </w:pPr>
            <w:r>
              <w:rPr>
                <w:rFonts w:ascii="Arial" w:hAnsi="Arial" w:eastAsia="Arial"/>
                <w:color w:val="1F2937"/>
                <w:sz w:val="15"/>
              </w:rPr>
              <w:t>Assess strengths/limitations or reasonableness.</w:t>
            </w:r>
          </w:p>
        </w:tc>
        <w:tc>
          <w:tcPr>
            <w:tcW w:type="dxa" w:w="3312"/>
            <w:vAlign w:val="center"/>
          </w:tcPr>
          <w:p>
            <w:pPr>
              <w:spacing w:before="0" w:after="20" w:line="240" w:lineRule="auto"/>
            </w:pPr>
            <w:r>
              <w:rPr>
                <w:rFonts w:ascii="Arial" w:hAnsi="Arial" w:eastAsia="Arial"/>
                <w:color w:val="1F2937"/>
                <w:sz w:val="15"/>
              </w:rPr>
              <w:t>Only describing results.</w:t>
            </w:r>
          </w:p>
        </w:tc>
      </w:tr>
      <w:tr>
        <w:tc>
          <w:tcPr>
            <w:tcW w:type="dxa" w:w="1584"/>
            <w:vAlign w:val="center"/>
            <w:shd w:fill="F8FAFC"/>
          </w:tcPr>
          <w:p>
            <w:pPr>
              <w:spacing w:before="0" w:after="20" w:line="240" w:lineRule="auto"/>
            </w:pPr>
            <w:r>
              <w:rPr>
                <w:rFonts w:ascii="Arial" w:hAnsi="Arial" w:eastAsia="Arial"/>
                <w:color w:val="1F2937"/>
                <w:sz w:val="15"/>
              </w:rPr>
              <w:t>Hence</w:t>
            </w:r>
          </w:p>
        </w:tc>
        <w:tc>
          <w:tcPr>
            <w:tcW w:type="dxa" w:w="4896"/>
            <w:vAlign w:val="center"/>
            <w:shd w:fill="F8FAFC"/>
          </w:tcPr>
          <w:p>
            <w:pPr>
              <w:spacing w:before="0" w:after="20" w:line="240" w:lineRule="auto"/>
            </w:pPr>
            <w:r>
              <w:rPr>
                <w:rFonts w:ascii="Arial" w:hAnsi="Arial" w:eastAsia="Arial"/>
                <w:color w:val="1F2937"/>
                <w:sz w:val="15"/>
              </w:rPr>
              <w:t>Use a previous result to proceed efficiently.</w:t>
            </w:r>
          </w:p>
        </w:tc>
        <w:tc>
          <w:tcPr>
            <w:tcW w:type="dxa" w:w="3312"/>
            <w:vAlign w:val="center"/>
            <w:shd w:fill="F8FAFC"/>
          </w:tcPr>
          <w:p>
            <w:pPr>
              <w:spacing w:before="0" w:after="20" w:line="240" w:lineRule="auto"/>
            </w:pPr>
            <w:r>
              <w:rPr>
                <w:rFonts w:ascii="Arial" w:hAnsi="Arial" w:eastAsia="Arial"/>
                <w:color w:val="1F2937"/>
                <w:sz w:val="15"/>
              </w:rPr>
              <w:t>Starting over and missing intended link.</w:t>
            </w:r>
          </w:p>
        </w:tc>
      </w:tr>
    </w:tbl>
    <w:p/>
    <w:p>
      <w:r>
        <w:br w:type="page"/>
      </w:r>
    </w:p>
    <w:p>
      <w:pPr>
        <w:pStyle w:val="Heading1"/>
        <w:spacing w:before="120" w:after="120" w:line="240" w:lineRule="auto"/>
      </w:pPr>
      <w:r>
        <w:t>7. Common struggles and interventions</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2160"/>
            <w:shd w:fill="0E9AA7"/>
            <w:vAlign w:val="center"/>
          </w:tcPr>
          <w:p>
            <w:pPr>
              <w:spacing w:before="0" w:after="20" w:line="240" w:lineRule="auto"/>
            </w:pPr>
            <w:r>
              <w:rPr>
                <w:b/>
                <w:color w:val="FFFFFF"/>
                <w:sz w:val="14"/>
              </w:rPr>
              <w:t>Struggle</w:t>
            </w:r>
          </w:p>
        </w:tc>
        <w:tc>
          <w:tcPr>
            <w:tcW w:type="dxa" w:w="2880"/>
            <w:shd w:fill="0E9AA7"/>
            <w:vAlign w:val="center"/>
          </w:tcPr>
          <w:p>
            <w:pPr>
              <w:spacing w:before="0" w:after="20" w:line="240" w:lineRule="auto"/>
            </w:pPr>
            <w:r>
              <w:rPr>
                <w:b/>
                <w:color w:val="FFFFFF"/>
                <w:sz w:val="14"/>
              </w:rPr>
              <w:t>Likely cause</w:t>
            </w:r>
          </w:p>
        </w:tc>
        <w:tc>
          <w:tcPr>
            <w:tcW w:type="dxa" w:w="3312"/>
            <w:shd w:fill="0E9AA7"/>
            <w:vAlign w:val="center"/>
          </w:tcPr>
          <w:p>
            <w:pPr>
              <w:spacing w:before="0" w:after="20" w:line="240" w:lineRule="auto"/>
            </w:pPr>
            <w:r>
              <w:rPr>
                <w:b/>
                <w:color w:val="FFFFFF"/>
                <w:sz w:val="14"/>
              </w:rPr>
              <w:t>Fast intervention</w:t>
            </w:r>
          </w:p>
        </w:tc>
        <w:tc>
          <w:tcPr>
            <w:tcW w:type="dxa" w:w="1728"/>
            <w:shd w:fill="0E9AA7"/>
            <w:vAlign w:val="center"/>
          </w:tcPr>
          <w:p>
            <w:pPr>
              <w:spacing w:before="0" w:after="20" w:line="240" w:lineRule="auto"/>
            </w:pPr>
            <w:r>
              <w:rPr>
                <w:b/>
                <w:color w:val="FFFFFF"/>
                <w:sz w:val="14"/>
              </w:rPr>
              <w:t>Student self-check</w:t>
            </w:r>
          </w:p>
        </w:tc>
      </w:tr>
      <w:tr>
        <w:tc>
          <w:tcPr>
            <w:tcW w:type="dxa" w:w="2160"/>
            <w:vAlign w:val="center"/>
          </w:tcPr>
          <w:p>
            <w:pPr>
              <w:spacing w:before="0" w:after="20" w:line="240" w:lineRule="auto"/>
            </w:pPr>
            <w:r>
              <w:rPr>
                <w:rFonts w:ascii="Arial" w:hAnsi="Arial" w:eastAsia="Arial"/>
                <w:color w:val="1F2937"/>
                <w:sz w:val="14"/>
              </w:rPr>
              <w:t>Calculator answer with no working</w:t>
            </w:r>
          </w:p>
        </w:tc>
        <w:tc>
          <w:tcPr>
            <w:tcW w:type="dxa" w:w="2880"/>
            <w:vAlign w:val="center"/>
          </w:tcPr>
          <w:p>
            <w:pPr>
              <w:spacing w:before="0" w:after="20" w:line="240" w:lineRule="auto"/>
            </w:pPr>
            <w:r>
              <w:rPr>
                <w:rFonts w:ascii="Arial" w:hAnsi="Arial" w:eastAsia="Arial"/>
                <w:color w:val="1F2937"/>
                <w:sz w:val="14"/>
              </w:rPr>
              <w:t>Final answer appears but method is not visible.</w:t>
            </w:r>
          </w:p>
        </w:tc>
        <w:tc>
          <w:tcPr>
            <w:tcW w:type="dxa" w:w="3312"/>
            <w:vAlign w:val="center"/>
          </w:tcPr>
          <w:p>
            <w:pPr>
              <w:spacing w:before="0" w:after="20" w:line="240" w:lineRule="auto"/>
            </w:pPr>
            <w:r>
              <w:rPr>
                <w:rFonts w:ascii="Arial" w:hAnsi="Arial" w:eastAsia="Arial"/>
                <w:color w:val="1F2937"/>
                <w:sz w:val="14"/>
              </w:rPr>
              <w:t>Student thinks technology output is sufficient.</w:t>
            </w:r>
          </w:p>
        </w:tc>
        <w:tc>
          <w:tcPr>
            <w:tcW w:type="dxa" w:w="1728"/>
            <w:vAlign w:val="center"/>
          </w:tcPr>
          <w:p>
            <w:pPr>
              <w:spacing w:before="0" w:after="20" w:line="240" w:lineRule="auto"/>
            </w:pPr>
            <w:r>
              <w:rPr>
                <w:rFonts w:ascii="Arial" w:hAnsi="Arial" w:eastAsia="Arial"/>
                <w:color w:val="1F2937"/>
                <w:sz w:val="14"/>
              </w:rPr>
              <w:t>Redo 3 tasks writing method marks.</w:t>
            </w:r>
          </w:p>
        </w:tc>
      </w:tr>
      <w:tr>
        <w:tc>
          <w:tcPr>
            <w:tcW w:type="dxa" w:w="2160"/>
            <w:vAlign w:val="center"/>
            <w:shd w:fill="F8FAFC"/>
          </w:tcPr>
          <w:p>
            <w:pPr>
              <w:spacing w:before="0" w:after="20" w:line="240" w:lineRule="auto"/>
            </w:pPr>
            <w:r>
              <w:rPr>
                <w:rFonts w:ascii="Arial" w:hAnsi="Arial" w:eastAsia="Arial"/>
                <w:color w:val="1F2937"/>
                <w:sz w:val="14"/>
              </w:rPr>
              <w:t>Choosing wrong model</w:t>
            </w:r>
          </w:p>
        </w:tc>
        <w:tc>
          <w:tcPr>
            <w:tcW w:type="dxa" w:w="2880"/>
            <w:vAlign w:val="center"/>
            <w:shd w:fill="F8FAFC"/>
          </w:tcPr>
          <w:p>
            <w:pPr>
              <w:spacing w:before="0" w:after="20" w:line="240" w:lineRule="auto"/>
            </w:pPr>
            <w:r>
              <w:rPr>
                <w:rFonts w:ascii="Arial" w:hAnsi="Arial" w:eastAsia="Arial"/>
                <w:color w:val="1F2937"/>
                <w:sz w:val="14"/>
              </w:rPr>
              <w:t>Uses linear regression for all data.</w:t>
            </w:r>
          </w:p>
        </w:tc>
        <w:tc>
          <w:tcPr>
            <w:tcW w:type="dxa" w:w="3312"/>
            <w:vAlign w:val="center"/>
            <w:shd w:fill="F8FAFC"/>
          </w:tcPr>
          <w:p>
            <w:pPr>
              <w:spacing w:before="0" w:after="20" w:line="240" w:lineRule="auto"/>
            </w:pPr>
            <w:r>
              <w:rPr>
                <w:rFonts w:ascii="Arial" w:hAnsi="Arial" w:eastAsia="Arial"/>
                <w:color w:val="1F2937"/>
                <w:sz w:val="14"/>
              </w:rPr>
              <w:t>Limited model-family recognition.</w:t>
            </w:r>
          </w:p>
        </w:tc>
        <w:tc>
          <w:tcPr>
            <w:tcW w:type="dxa" w:w="1728"/>
            <w:vAlign w:val="center"/>
            <w:shd w:fill="F8FAFC"/>
          </w:tcPr>
          <w:p>
            <w:pPr>
              <w:spacing w:before="0" w:after="20" w:line="240" w:lineRule="auto"/>
            </w:pPr>
            <w:r>
              <w:rPr>
                <w:rFonts w:ascii="Arial" w:hAnsi="Arial" w:eastAsia="Arial"/>
                <w:color w:val="1F2937"/>
                <w:sz w:val="14"/>
              </w:rPr>
              <w:t>Graph the same data with 3 models.</w:t>
            </w:r>
          </w:p>
        </w:tc>
      </w:tr>
      <w:tr>
        <w:tc>
          <w:tcPr>
            <w:tcW w:type="dxa" w:w="2160"/>
            <w:vAlign w:val="center"/>
          </w:tcPr>
          <w:p>
            <w:pPr>
              <w:spacing w:before="0" w:after="20" w:line="240" w:lineRule="auto"/>
            </w:pPr>
            <w:r>
              <w:rPr>
                <w:rFonts w:ascii="Arial" w:hAnsi="Arial" w:eastAsia="Arial"/>
                <w:color w:val="1F2937"/>
                <w:sz w:val="14"/>
              </w:rPr>
              <w:t>Rounding too early</w:t>
            </w:r>
          </w:p>
        </w:tc>
        <w:tc>
          <w:tcPr>
            <w:tcW w:type="dxa" w:w="2880"/>
            <w:vAlign w:val="center"/>
          </w:tcPr>
          <w:p>
            <w:pPr>
              <w:spacing w:before="0" w:after="20" w:line="240" w:lineRule="auto"/>
            </w:pPr>
            <w:r>
              <w:rPr>
                <w:rFonts w:ascii="Arial" w:hAnsi="Arial" w:eastAsia="Arial"/>
                <w:color w:val="1F2937"/>
                <w:sz w:val="14"/>
              </w:rPr>
              <w:t>Final answer differs; compounding or trig results off.</w:t>
            </w:r>
          </w:p>
        </w:tc>
        <w:tc>
          <w:tcPr>
            <w:tcW w:type="dxa" w:w="3312"/>
            <w:vAlign w:val="center"/>
          </w:tcPr>
          <w:p>
            <w:pPr>
              <w:spacing w:before="0" w:after="20" w:line="240" w:lineRule="auto"/>
            </w:pPr>
            <w:r>
              <w:rPr>
                <w:rFonts w:ascii="Arial" w:hAnsi="Arial" w:eastAsia="Arial"/>
                <w:color w:val="1F2937"/>
                <w:sz w:val="14"/>
              </w:rPr>
              <w:t>Rounding at intermediate steps.</w:t>
            </w:r>
          </w:p>
        </w:tc>
        <w:tc>
          <w:tcPr>
            <w:tcW w:type="dxa" w:w="1728"/>
            <w:vAlign w:val="center"/>
          </w:tcPr>
          <w:p>
            <w:pPr>
              <w:spacing w:before="0" w:after="20" w:line="240" w:lineRule="auto"/>
            </w:pPr>
            <w:r>
              <w:rPr>
                <w:rFonts w:ascii="Arial" w:hAnsi="Arial" w:eastAsia="Arial"/>
                <w:color w:val="1F2937"/>
                <w:sz w:val="14"/>
              </w:rPr>
              <w:t>Error comparison task.</w:t>
            </w:r>
          </w:p>
        </w:tc>
      </w:tr>
      <w:tr>
        <w:tc>
          <w:tcPr>
            <w:tcW w:type="dxa" w:w="2160"/>
            <w:vAlign w:val="center"/>
            <w:shd w:fill="F8FAFC"/>
          </w:tcPr>
          <w:p>
            <w:pPr>
              <w:spacing w:before="0" w:after="20" w:line="240" w:lineRule="auto"/>
            </w:pPr>
            <w:r>
              <w:rPr>
                <w:rFonts w:ascii="Arial" w:hAnsi="Arial" w:eastAsia="Arial"/>
                <w:color w:val="1F2937"/>
                <w:sz w:val="14"/>
              </w:rPr>
              <w:t>Weak probability language</w:t>
            </w:r>
          </w:p>
        </w:tc>
        <w:tc>
          <w:tcPr>
            <w:tcW w:type="dxa" w:w="2880"/>
            <w:vAlign w:val="center"/>
            <w:shd w:fill="F8FAFC"/>
          </w:tcPr>
          <w:p>
            <w:pPr>
              <w:spacing w:before="0" w:after="20" w:line="240" w:lineRule="auto"/>
            </w:pPr>
            <w:r>
              <w:rPr>
                <w:rFonts w:ascii="Arial" w:hAnsi="Arial" w:eastAsia="Arial"/>
                <w:color w:val="1F2937"/>
                <w:sz w:val="14"/>
              </w:rPr>
              <w:t>Confuses conditional, union, intersection, independence.</w:t>
            </w:r>
          </w:p>
        </w:tc>
        <w:tc>
          <w:tcPr>
            <w:tcW w:type="dxa" w:w="3312"/>
            <w:vAlign w:val="center"/>
            <w:shd w:fill="F8FAFC"/>
          </w:tcPr>
          <w:p>
            <w:pPr>
              <w:spacing w:before="0" w:after="20" w:line="240" w:lineRule="auto"/>
            </w:pPr>
            <w:r>
              <w:rPr>
                <w:rFonts w:ascii="Arial" w:hAnsi="Arial" w:eastAsia="Arial"/>
                <w:color w:val="1F2937"/>
                <w:sz w:val="14"/>
              </w:rPr>
              <w:t>Venn/tree notation not internalized.</w:t>
            </w:r>
          </w:p>
        </w:tc>
        <w:tc>
          <w:tcPr>
            <w:tcW w:type="dxa" w:w="1728"/>
            <w:vAlign w:val="center"/>
            <w:shd w:fill="F8FAFC"/>
          </w:tcPr>
          <w:p>
            <w:pPr>
              <w:spacing w:before="0" w:after="20" w:line="240" w:lineRule="auto"/>
            </w:pPr>
            <w:r>
              <w:rPr>
                <w:rFonts w:ascii="Arial" w:hAnsi="Arial" w:eastAsia="Arial"/>
                <w:color w:val="1F2937"/>
                <w:sz w:val="14"/>
              </w:rPr>
              <w:t>Translate 10 statements to notation.</w:t>
            </w:r>
          </w:p>
        </w:tc>
      </w:tr>
      <w:tr>
        <w:tc>
          <w:tcPr>
            <w:tcW w:type="dxa" w:w="2160"/>
            <w:vAlign w:val="center"/>
          </w:tcPr>
          <w:p>
            <w:pPr>
              <w:spacing w:before="0" w:after="20" w:line="240" w:lineRule="auto"/>
            </w:pPr>
            <w:r>
              <w:rPr>
                <w:rFonts w:ascii="Arial" w:hAnsi="Arial" w:eastAsia="Arial"/>
                <w:color w:val="1F2937"/>
                <w:sz w:val="14"/>
              </w:rPr>
              <w:t>Statistics interpretation</w:t>
            </w:r>
          </w:p>
        </w:tc>
        <w:tc>
          <w:tcPr>
            <w:tcW w:type="dxa" w:w="2880"/>
            <w:vAlign w:val="center"/>
          </w:tcPr>
          <w:p>
            <w:pPr>
              <w:spacing w:before="0" w:after="20" w:line="240" w:lineRule="auto"/>
            </w:pPr>
            <w:r>
              <w:rPr>
                <w:rFonts w:ascii="Arial" w:hAnsi="Arial" w:eastAsia="Arial"/>
                <w:color w:val="1F2937"/>
                <w:sz w:val="14"/>
              </w:rPr>
              <w:t>States reject/fail reject without context.</w:t>
            </w:r>
          </w:p>
        </w:tc>
        <w:tc>
          <w:tcPr>
            <w:tcW w:type="dxa" w:w="3312"/>
            <w:vAlign w:val="center"/>
          </w:tcPr>
          <w:p>
            <w:pPr>
              <w:spacing w:before="0" w:after="20" w:line="240" w:lineRule="auto"/>
            </w:pPr>
            <w:r>
              <w:rPr>
                <w:rFonts w:ascii="Arial" w:hAnsi="Arial" w:eastAsia="Arial"/>
                <w:color w:val="1F2937"/>
                <w:sz w:val="14"/>
              </w:rPr>
              <w:t>Procedure focus over meaning.</w:t>
            </w:r>
          </w:p>
        </w:tc>
        <w:tc>
          <w:tcPr>
            <w:tcW w:type="dxa" w:w="1728"/>
            <w:vAlign w:val="center"/>
          </w:tcPr>
          <w:p>
            <w:pPr>
              <w:spacing w:before="0" w:after="20" w:line="240" w:lineRule="auto"/>
            </w:pPr>
            <w:r>
              <w:rPr>
                <w:rFonts w:ascii="Arial" w:hAnsi="Arial" w:eastAsia="Arial"/>
                <w:color w:val="1F2937"/>
                <w:sz w:val="14"/>
              </w:rPr>
              <w:t>Write p-value interpretation in three contexts.</w:t>
            </w:r>
          </w:p>
        </w:tc>
      </w:tr>
      <w:tr>
        <w:tc>
          <w:tcPr>
            <w:tcW w:type="dxa" w:w="2160"/>
            <w:vAlign w:val="center"/>
            <w:shd w:fill="F8FAFC"/>
          </w:tcPr>
          <w:p>
            <w:pPr>
              <w:spacing w:before="0" w:after="20" w:line="240" w:lineRule="auto"/>
            </w:pPr>
            <w:r>
              <w:rPr>
                <w:rFonts w:ascii="Arial" w:hAnsi="Arial" w:eastAsia="Arial"/>
                <w:color w:val="1F2937"/>
                <w:sz w:val="14"/>
              </w:rPr>
              <w:t>Algebraic manipulation gaps</w:t>
            </w:r>
          </w:p>
        </w:tc>
        <w:tc>
          <w:tcPr>
            <w:tcW w:type="dxa" w:w="2880"/>
            <w:vAlign w:val="center"/>
            <w:shd w:fill="F8FAFC"/>
          </w:tcPr>
          <w:p>
            <w:pPr>
              <w:spacing w:before="0" w:after="20" w:line="240" w:lineRule="auto"/>
            </w:pPr>
            <w:r>
              <w:rPr>
                <w:rFonts w:ascii="Arial" w:hAnsi="Arial" w:eastAsia="Arial"/>
                <w:color w:val="1F2937"/>
                <w:sz w:val="14"/>
              </w:rPr>
              <w:t>Cannot rearrange formulas or solve systems.</w:t>
            </w:r>
          </w:p>
        </w:tc>
        <w:tc>
          <w:tcPr>
            <w:tcW w:type="dxa" w:w="3312"/>
            <w:vAlign w:val="center"/>
            <w:shd w:fill="F8FAFC"/>
          </w:tcPr>
          <w:p>
            <w:pPr>
              <w:spacing w:before="0" w:after="20" w:line="240" w:lineRule="auto"/>
            </w:pPr>
            <w:r>
              <w:rPr>
                <w:rFonts w:ascii="Arial" w:hAnsi="Arial" w:eastAsia="Arial"/>
                <w:color w:val="1F2937"/>
                <w:sz w:val="14"/>
              </w:rPr>
              <w:t>Prior learning gaps.</w:t>
            </w:r>
          </w:p>
        </w:tc>
        <w:tc>
          <w:tcPr>
            <w:tcW w:type="dxa" w:w="1728"/>
            <w:vAlign w:val="center"/>
            <w:shd w:fill="F8FAFC"/>
          </w:tcPr>
          <w:p>
            <w:pPr>
              <w:spacing w:before="0" w:after="20" w:line="240" w:lineRule="auto"/>
            </w:pPr>
            <w:r>
              <w:rPr>
                <w:rFonts w:ascii="Arial" w:hAnsi="Arial" w:eastAsia="Arial"/>
                <w:color w:val="1F2937"/>
                <w:sz w:val="14"/>
              </w:rPr>
              <w:t>5-minute algebra starters.</w:t>
            </w:r>
          </w:p>
        </w:tc>
      </w:tr>
      <w:tr>
        <w:tc>
          <w:tcPr>
            <w:tcW w:type="dxa" w:w="2160"/>
            <w:vAlign w:val="center"/>
          </w:tcPr>
          <w:p>
            <w:pPr>
              <w:spacing w:before="0" w:after="20" w:line="240" w:lineRule="auto"/>
            </w:pPr>
            <w:r>
              <w:rPr>
                <w:rFonts w:ascii="Arial" w:hAnsi="Arial" w:eastAsia="Arial"/>
                <w:color w:val="1F2937"/>
                <w:sz w:val="14"/>
              </w:rPr>
              <w:t>Diagram inaccuracy</w:t>
            </w:r>
          </w:p>
        </w:tc>
        <w:tc>
          <w:tcPr>
            <w:tcW w:type="dxa" w:w="2880"/>
            <w:vAlign w:val="center"/>
          </w:tcPr>
          <w:p>
            <w:pPr>
              <w:spacing w:before="0" w:after="20" w:line="240" w:lineRule="auto"/>
            </w:pPr>
            <w:r>
              <w:rPr>
                <w:rFonts w:ascii="Arial" w:hAnsi="Arial" w:eastAsia="Arial"/>
                <w:color w:val="1F2937"/>
                <w:sz w:val="14"/>
              </w:rPr>
              <w:t>Missing labels/units/angle positions.</w:t>
            </w:r>
          </w:p>
        </w:tc>
        <w:tc>
          <w:tcPr>
            <w:tcW w:type="dxa" w:w="3312"/>
            <w:vAlign w:val="center"/>
          </w:tcPr>
          <w:p>
            <w:pPr>
              <w:spacing w:before="0" w:after="20" w:line="240" w:lineRule="auto"/>
            </w:pPr>
            <w:r>
              <w:rPr>
                <w:rFonts w:ascii="Arial" w:hAnsi="Arial" w:eastAsia="Arial"/>
                <w:color w:val="1F2937"/>
                <w:sz w:val="14"/>
              </w:rPr>
              <w:t>Rushing construction.</w:t>
            </w:r>
          </w:p>
        </w:tc>
        <w:tc>
          <w:tcPr>
            <w:tcW w:type="dxa" w:w="1728"/>
            <w:vAlign w:val="center"/>
          </w:tcPr>
          <w:p>
            <w:pPr>
              <w:spacing w:before="0" w:after="20" w:line="240" w:lineRule="auto"/>
            </w:pPr>
            <w:r>
              <w:rPr>
                <w:rFonts w:ascii="Arial" w:hAnsi="Arial" w:eastAsia="Arial"/>
                <w:color w:val="1F2937"/>
                <w:sz w:val="14"/>
              </w:rPr>
              <w:t>Redraw flawed solutions.</w:t>
            </w:r>
          </w:p>
        </w:tc>
      </w:tr>
      <w:tr>
        <w:tc>
          <w:tcPr>
            <w:tcW w:type="dxa" w:w="2160"/>
            <w:vAlign w:val="center"/>
            <w:shd w:fill="F8FAFC"/>
          </w:tcPr>
          <w:p>
            <w:pPr>
              <w:spacing w:before="0" w:after="20" w:line="240" w:lineRule="auto"/>
            </w:pPr>
            <w:r>
              <w:rPr>
                <w:rFonts w:ascii="Arial" w:hAnsi="Arial" w:eastAsia="Arial"/>
                <w:color w:val="1F2937"/>
                <w:sz w:val="14"/>
              </w:rPr>
              <w:t>IA topic too broad</w:t>
            </w:r>
          </w:p>
        </w:tc>
        <w:tc>
          <w:tcPr>
            <w:tcW w:type="dxa" w:w="2880"/>
            <w:vAlign w:val="center"/>
            <w:shd w:fill="F8FAFC"/>
          </w:tcPr>
          <w:p>
            <w:pPr>
              <w:spacing w:before="0" w:after="20" w:line="240" w:lineRule="auto"/>
            </w:pPr>
            <w:r>
              <w:rPr>
                <w:rFonts w:ascii="Arial" w:hAnsi="Arial" w:eastAsia="Arial"/>
                <w:color w:val="1F2937"/>
                <w:sz w:val="14"/>
              </w:rPr>
              <w:t>Question cannot be answered mathematically.</w:t>
            </w:r>
          </w:p>
        </w:tc>
        <w:tc>
          <w:tcPr>
            <w:tcW w:type="dxa" w:w="3312"/>
            <w:vAlign w:val="center"/>
            <w:shd w:fill="F8FAFC"/>
          </w:tcPr>
          <w:p>
            <w:pPr>
              <w:spacing w:before="0" w:after="20" w:line="240" w:lineRule="auto"/>
            </w:pPr>
            <w:r>
              <w:rPr>
                <w:rFonts w:ascii="Arial" w:hAnsi="Arial" w:eastAsia="Arial"/>
                <w:color w:val="1F2937"/>
                <w:sz w:val="14"/>
              </w:rPr>
              <w:t>Interest not yet translated into variables/methods.</w:t>
            </w:r>
          </w:p>
        </w:tc>
        <w:tc>
          <w:tcPr>
            <w:tcW w:type="dxa" w:w="1728"/>
            <w:vAlign w:val="center"/>
            <w:shd w:fill="F8FAFC"/>
          </w:tcPr>
          <w:p>
            <w:pPr>
              <w:spacing w:before="0" w:after="20" w:line="240" w:lineRule="auto"/>
            </w:pPr>
            <w:r>
              <w:rPr>
                <w:rFonts w:ascii="Arial" w:hAnsi="Arial" w:eastAsia="Arial"/>
                <w:color w:val="1F2937"/>
                <w:sz w:val="14"/>
              </w:rPr>
              <w:t>IA question clinic.</w:t>
            </w:r>
          </w:p>
        </w:tc>
      </w:tr>
      <w:tr>
        <w:tc>
          <w:tcPr>
            <w:tcW w:type="dxa" w:w="2160"/>
            <w:vAlign w:val="center"/>
          </w:tcPr>
          <w:p>
            <w:pPr>
              <w:spacing w:before="0" w:after="20" w:line="240" w:lineRule="auto"/>
            </w:pPr>
            <w:r>
              <w:rPr>
                <w:rFonts w:ascii="Arial" w:hAnsi="Arial" w:eastAsia="Arial"/>
                <w:color w:val="1F2937"/>
                <w:sz w:val="14"/>
              </w:rPr>
              <w:t>HL connections weak</w:t>
            </w:r>
          </w:p>
        </w:tc>
        <w:tc>
          <w:tcPr>
            <w:tcW w:type="dxa" w:w="2880"/>
            <w:vAlign w:val="center"/>
          </w:tcPr>
          <w:p>
            <w:pPr>
              <w:spacing w:before="0" w:after="20" w:line="240" w:lineRule="auto"/>
            </w:pPr>
            <w:r>
              <w:rPr>
                <w:rFonts w:ascii="Arial" w:hAnsi="Arial" w:eastAsia="Arial"/>
                <w:color w:val="1F2937"/>
                <w:sz w:val="14"/>
              </w:rPr>
              <w:t>Struggles with Paper 3 unfamiliar tasks.</w:t>
            </w:r>
          </w:p>
        </w:tc>
        <w:tc>
          <w:tcPr>
            <w:tcW w:type="dxa" w:w="3312"/>
            <w:vAlign w:val="center"/>
          </w:tcPr>
          <w:p>
            <w:pPr>
              <w:spacing w:before="0" w:after="20" w:line="240" w:lineRule="auto"/>
            </w:pPr>
            <w:r>
              <w:rPr>
                <w:rFonts w:ascii="Arial" w:hAnsi="Arial" w:eastAsia="Arial"/>
                <w:color w:val="1F2937"/>
                <w:sz w:val="14"/>
              </w:rPr>
              <w:t>Learning topics in isolation.</w:t>
            </w:r>
          </w:p>
        </w:tc>
        <w:tc>
          <w:tcPr>
            <w:tcW w:type="dxa" w:w="1728"/>
            <w:vAlign w:val="center"/>
          </w:tcPr>
          <w:p>
            <w:pPr>
              <w:spacing w:before="0" w:after="20" w:line="240" w:lineRule="auto"/>
            </w:pPr>
            <w:r>
              <w:rPr>
                <w:rFonts w:ascii="Arial" w:hAnsi="Arial" w:eastAsia="Arial"/>
                <w:color w:val="1F2937"/>
                <w:sz w:val="14"/>
              </w:rPr>
              <w:t>Paper 3 micro-inquiries.</w:t>
            </w:r>
          </w:p>
        </w:tc>
      </w:tr>
      <w:tr>
        <w:tc>
          <w:tcPr>
            <w:tcW w:type="dxa" w:w="2160"/>
            <w:vAlign w:val="center"/>
            <w:shd w:fill="F8FAFC"/>
          </w:tcPr>
          <w:p>
            <w:pPr>
              <w:spacing w:before="0" w:after="20" w:line="240" w:lineRule="auto"/>
            </w:pPr>
            <w:r>
              <w:rPr>
                <w:rFonts w:ascii="Arial" w:hAnsi="Arial" w:eastAsia="Arial"/>
                <w:color w:val="1F2937"/>
                <w:sz w:val="14"/>
              </w:rPr>
              <w:t>Misusing formulas</w:t>
            </w:r>
          </w:p>
        </w:tc>
        <w:tc>
          <w:tcPr>
            <w:tcW w:type="dxa" w:w="2880"/>
            <w:vAlign w:val="center"/>
            <w:shd w:fill="F8FAFC"/>
          </w:tcPr>
          <w:p>
            <w:pPr>
              <w:spacing w:before="0" w:after="20" w:line="240" w:lineRule="auto"/>
            </w:pPr>
            <w:r>
              <w:rPr>
                <w:rFonts w:ascii="Arial" w:hAnsi="Arial" w:eastAsia="Arial"/>
                <w:color w:val="1F2937"/>
                <w:sz w:val="14"/>
              </w:rPr>
              <w:t>Correct formula but wrong variables/units.</w:t>
            </w:r>
          </w:p>
        </w:tc>
        <w:tc>
          <w:tcPr>
            <w:tcW w:type="dxa" w:w="3312"/>
            <w:vAlign w:val="center"/>
            <w:shd w:fill="F8FAFC"/>
          </w:tcPr>
          <w:p>
            <w:pPr>
              <w:spacing w:before="0" w:after="20" w:line="240" w:lineRule="auto"/>
            </w:pPr>
            <w:r>
              <w:rPr>
                <w:rFonts w:ascii="Arial" w:hAnsi="Arial" w:eastAsia="Arial"/>
                <w:color w:val="1F2937"/>
                <w:sz w:val="14"/>
              </w:rPr>
              <w:t>Formula memorized without conditions.</w:t>
            </w:r>
          </w:p>
        </w:tc>
        <w:tc>
          <w:tcPr>
            <w:tcW w:type="dxa" w:w="1728"/>
            <w:vAlign w:val="center"/>
            <w:shd w:fill="F8FAFC"/>
          </w:tcPr>
          <w:p>
            <w:pPr>
              <w:spacing w:before="0" w:after="20" w:line="240" w:lineRule="auto"/>
            </w:pPr>
            <w:r>
              <w:rPr>
                <w:rFonts w:ascii="Arial" w:hAnsi="Arial" w:eastAsia="Arial"/>
                <w:color w:val="1F2937"/>
                <w:sz w:val="14"/>
              </w:rPr>
              <w:t>Formula bank annotation.</w:t>
            </w:r>
          </w:p>
        </w:tc>
      </w:tr>
    </w:tbl>
    <w:p/>
    <w:p>
      <w:r>
        <w:br w:type="page"/>
      </w:r>
    </w:p>
    <w:p>
      <w:pPr>
        <w:pStyle w:val="Heading1"/>
        <w:spacing w:before="120" w:after="120" w:line="240" w:lineRule="auto"/>
      </w:pPr>
      <w:r>
        <w:t>8. Final review plan</w:t>
      </w:r>
    </w:p>
    <w:tbl>
      <w:tblPr>
        <w:tblStyle w:val="TableGrid"/>
        <w:tblW w:type="auto" w:w="0"/>
        <w:jc w:val="center"/>
        <w:tblLook w:firstColumn="1" w:firstRow="1" w:lastColumn="0" w:lastRow="0" w:noHBand="0" w:noVBand="1" w:val="04A0"/>
      </w:tblPr>
      <w:tblGrid>
        <w:gridCol w:w="2102"/>
        <w:gridCol w:w="2102"/>
        <w:gridCol w:w="2102"/>
        <w:gridCol w:w="2102"/>
        <w:gridCol w:w="2102"/>
      </w:tblGrid>
      <w:tr>
        <w:trPr>
          <w:tblHeader w:val="true"/>
        </w:trPr>
        <w:tc>
          <w:tcPr>
            <w:tcW w:type="dxa" w:w="792"/>
            <w:shd w:fill="0B3954"/>
            <w:vAlign w:val="center"/>
          </w:tcPr>
          <w:p>
            <w:pPr>
              <w:spacing w:before="0" w:after="20" w:line="240" w:lineRule="auto"/>
            </w:pPr>
            <w:r>
              <w:rPr>
                <w:b/>
                <w:color w:val="FFFFFF"/>
                <w:sz w:val="15"/>
              </w:rPr>
              <w:t>Week</w:t>
            </w:r>
          </w:p>
        </w:tc>
        <w:tc>
          <w:tcPr>
            <w:tcW w:type="dxa" w:w="1728"/>
            <w:shd w:fill="0B3954"/>
            <w:vAlign w:val="center"/>
          </w:tcPr>
          <w:p>
            <w:pPr>
              <w:spacing w:before="0" w:after="20" w:line="240" w:lineRule="auto"/>
            </w:pPr>
            <w:r>
              <w:rPr>
                <w:b/>
                <w:color w:val="FFFFFF"/>
                <w:sz w:val="15"/>
              </w:rPr>
              <w:t>Theme</w:t>
            </w:r>
          </w:p>
        </w:tc>
        <w:tc>
          <w:tcPr>
            <w:tcW w:type="dxa" w:w="3600"/>
            <w:shd w:fill="0B3954"/>
            <w:vAlign w:val="center"/>
          </w:tcPr>
          <w:p>
            <w:pPr>
              <w:spacing w:before="0" w:after="20" w:line="240" w:lineRule="auto"/>
            </w:pPr>
            <w:r>
              <w:rPr>
                <w:b/>
                <w:color w:val="FFFFFF"/>
                <w:sz w:val="15"/>
              </w:rPr>
              <w:t>Focus</w:t>
            </w:r>
          </w:p>
        </w:tc>
        <w:tc>
          <w:tcPr>
            <w:tcW w:type="dxa" w:w="2160"/>
            <w:shd w:fill="0B3954"/>
            <w:vAlign w:val="center"/>
          </w:tcPr>
          <w:p>
            <w:pPr>
              <w:spacing w:before="0" w:after="20" w:line="240" w:lineRule="auto"/>
            </w:pPr>
            <w:r>
              <w:rPr>
                <w:b/>
                <w:color w:val="FFFFFF"/>
                <w:sz w:val="15"/>
              </w:rPr>
              <w:t>Practice</w:t>
            </w:r>
          </w:p>
        </w:tc>
        <w:tc>
          <w:tcPr>
            <w:tcW w:type="dxa" w:w="1728"/>
            <w:shd w:fill="0B3954"/>
            <w:vAlign w:val="center"/>
          </w:tcPr>
          <w:p>
            <w:pPr>
              <w:spacing w:before="0" w:after="20" w:line="240" w:lineRule="auto"/>
            </w:pPr>
            <w:r>
              <w:rPr>
                <w:b/>
                <w:color w:val="FFFFFF"/>
                <w:sz w:val="15"/>
              </w:rPr>
              <w:t>Evidence</w:t>
            </w:r>
          </w:p>
        </w:tc>
      </w:tr>
      <w:tr>
        <w:tc>
          <w:tcPr>
            <w:tcW w:type="dxa" w:w="792"/>
            <w:vAlign w:val="center"/>
          </w:tcPr>
          <w:p>
            <w:pPr>
              <w:spacing w:before="0" w:after="20" w:line="240" w:lineRule="auto"/>
            </w:pPr>
            <w:r>
              <w:rPr>
                <w:rFonts w:ascii="Arial" w:hAnsi="Arial" w:eastAsia="Arial"/>
                <w:color w:val="1F2937"/>
                <w:sz w:val="15"/>
              </w:rPr>
              <w:t>Week 12-10 weeks</w:t>
            </w:r>
          </w:p>
        </w:tc>
        <w:tc>
          <w:tcPr>
            <w:tcW w:type="dxa" w:w="1728"/>
            <w:vAlign w:val="center"/>
          </w:tcPr>
          <w:p>
            <w:pPr>
              <w:spacing w:before="0" w:after="20" w:line="240" w:lineRule="auto"/>
            </w:pPr>
            <w:r>
              <w:rPr>
                <w:rFonts w:ascii="Arial" w:hAnsi="Arial" w:eastAsia="Arial"/>
                <w:color w:val="1F2937"/>
                <w:sz w:val="15"/>
              </w:rPr>
              <w:t>Audit and diagnose</w:t>
            </w:r>
          </w:p>
        </w:tc>
        <w:tc>
          <w:tcPr>
            <w:tcW w:type="dxa" w:w="3600"/>
            <w:vAlign w:val="center"/>
          </w:tcPr>
          <w:p>
            <w:pPr>
              <w:spacing w:before="0" w:after="20" w:line="240" w:lineRule="auto"/>
            </w:pPr>
            <w:r>
              <w:rPr>
                <w:rFonts w:ascii="Arial" w:hAnsi="Arial" w:eastAsia="Arial"/>
                <w:color w:val="1F2937"/>
                <w:sz w:val="15"/>
              </w:rPr>
              <w:t>Full syllabus traffic-light checklist; one SL/HL mixed baseline paper.</w:t>
            </w:r>
          </w:p>
        </w:tc>
        <w:tc>
          <w:tcPr>
            <w:tcW w:type="dxa" w:w="2160"/>
            <w:vAlign w:val="center"/>
          </w:tcPr>
          <w:p>
            <w:pPr>
              <w:spacing w:before="0" w:after="20" w:line="240" w:lineRule="auto"/>
            </w:pPr>
            <w:r>
              <w:rPr>
                <w:rFonts w:ascii="Arial" w:hAnsi="Arial" w:eastAsia="Arial"/>
                <w:color w:val="1F2937"/>
                <w:sz w:val="15"/>
              </w:rPr>
              <w:t>Personal error log; top 5 weaknesses.</w:t>
            </w:r>
          </w:p>
        </w:tc>
        <w:tc>
          <w:tcPr>
            <w:tcW w:type="dxa" w:w="1728"/>
            <w:vAlign w:val="center"/>
          </w:tcPr>
          <w:p>
            <w:pPr>
              <w:spacing w:before="0" w:after="20" w:line="240" w:lineRule="auto"/>
            </w:pPr>
            <w:r>
              <w:rPr>
                <w:rFonts w:ascii="Arial" w:hAnsi="Arial" w:eastAsia="Arial"/>
                <w:color w:val="1F2937"/>
                <w:sz w:val="15"/>
              </w:rPr>
              <w:t>Teacher creates intervention groups.</w:t>
            </w:r>
          </w:p>
        </w:tc>
      </w:tr>
      <w:tr>
        <w:tc>
          <w:tcPr>
            <w:tcW w:type="dxa" w:w="792"/>
            <w:vAlign w:val="center"/>
            <w:shd w:fill="F8FAFC"/>
          </w:tcPr>
          <w:p>
            <w:pPr>
              <w:spacing w:before="0" w:after="20" w:line="240" w:lineRule="auto"/>
            </w:pPr>
            <w:r>
              <w:rPr>
                <w:rFonts w:ascii="Arial" w:hAnsi="Arial" w:eastAsia="Arial"/>
                <w:color w:val="1F2937"/>
                <w:sz w:val="15"/>
              </w:rPr>
              <w:t>Week 9-8 weeks</w:t>
            </w:r>
          </w:p>
        </w:tc>
        <w:tc>
          <w:tcPr>
            <w:tcW w:type="dxa" w:w="1728"/>
            <w:vAlign w:val="center"/>
            <w:shd w:fill="F8FAFC"/>
          </w:tcPr>
          <w:p>
            <w:pPr>
              <w:spacing w:before="0" w:after="20" w:line="240" w:lineRule="auto"/>
            </w:pPr>
            <w:r>
              <w:rPr>
                <w:rFonts w:ascii="Arial" w:hAnsi="Arial" w:eastAsia="Arial"/>
                <w:color w:val="1F2937"/>
                <w:sz w:val="15"/>
              </w:rPr>
              <w:t>Topic rotation 1</w:t>
            </w:r>
          </w:p>
        </w:tc>
        <w:tc>
          <w:tcPr>
            <w:tcW w:type="dxa" w:w="3600"/>
            <w:vAlign w:val="center"/>
            <w:shd w:fill="F8FAFC"/>
          </w:tcPr>
          <w:p>
            <w:pPr>
              <w:spacing w:before="0" w:after="20" w:line="240" w:lineRule="auto"/>
            </w:pPr>
            <w:r>
              <w:rPr>
                <w:rFonts w:ascii="Arial" w:hAnsi="Arial" w:eastAsia="Arial"/>
                <w:color w:val="1F2937"/>
                <w:sz w:val="15"/>
              </w:rPr>
              <w:t>Number/algebra + functions; daily 10-minute retrieval; technology drills.</w:t>
            </w:r>
          </w:p>
        </w:tc>
        <w:tc>
          <w:tcPr>
            <w:tcW w:type="dxa" w:w="2160"/>
            <w:vAlign w:val="center"/>
            <w:shd w:fill="F8FAFC"/>
          </w:tcPr>
          <w:p>
            <w:pPr>
              <w:spacing w:before="0" w:after="20" w:line="240" w:lineRule="auto"/>
            </w:pPr>
            <w:r>
              <w:rPr>
                <w:rFonts w:ascii="Arial" w:hAnsi="Arial" w:eastAsia="Arial"/>
                <w:color w:val="1F2937"/>
                <w:sz w:val="15"/>
              </w:rPr>
              <w:t>Corrected mixed set.</w:t>
            </w:r>
          </w:p>
        </w:tc>
        <w:tc>
          <w:tcPr>
            <w:tcW w:type="dxa" w:w="1728"/>
            <w:vAlign w:val="center"/>
            <w:shd w:fill="F8FAFC"/>
          </w:tcPr>
          <w:p>
            <w:pPr>
              <w:spacing w:before="0" w:after="20" w:line="240" w:lineRule="auto"/>
            </w:pPr>
            <w:r>
              <w:rPr>
                <w:rFonts w:ascii="Arial" w:hAnsi="Arial" w:eastAsia="Arial"/>
                <w:color w:val="1F2937"/>
                <w:sz w:val="15"/>
              </w:rPr>
              <w:t>Re-teach models and equation solving.</w:t>
            </w:r>
          </w:p>
        </w:tc>
      </w:tr>
      <w:tr>
        <w:tc>
          <w:tcPr>
            <w:tcW w:type="dxa" w:w="792"/>
            <w:vAlign w:val="center"/>
          </w:tcPr>
          <w:p>
            <w:pPr>
              <w:spacing w:before="0" w:after="20" w:line="240" w:lineRule="auto"/>
            </w:pPr>
            <w:r>
              <w:rPr>
                <w:rFonts w:ascii="Arial" w:hAnsi="Arial" w:eastAsia="Arial"/>
                <w:color w:val="1F2937"/>
                <w:sz w:val="15"/>
              </w:rPr>
              <w:t>Week 7-6 weeks</w:t>
            </w:r>
          </w:p>
        </w:tc>
        <w:tc>
          <w:tcPr>
            <w:tcW w:type="dxa" w:w="1728"/>
            <w:vAlign w:val="center"/>
          </w:tcPr>
          <w:p>
            <w:pPr>
              <w:spacing w:before="0" w:after="20" w:line="240" w:lineRule="auto"/>
            </w:pPr>
            <w:r>
              <w:rPr>
                <w:rFonts w:ascii="Arial" w:hAnsi="Arial" w:eastAsia="Arial"/>
                <w:color w:val="1F2937"/>
                <w:sz w:val="15"/>
              </w:rPr>
              <w:t>Topic rotation 2</w:t>
            </w:r>
          </w:p>
        </w:tc>
        <w:tc>
          <w:tcPr>
            <w:tcW w:type="dxa" w:w="3600"/>
            <w:vAlign w:val="center"/>
          </w:tcPr>
          <w:p>
            <w:pPr>
              <w:spacing w:before="0" w:after="20" w:line="240" w:lineRule="auto"/>
            </w:pPr>
            <w:r>
              <w:rPr>
                <w:rFonts w:ascii="Arial" w:hAnsi="Arial" w:eastAsia="Arial"/>
                <w:color w:val="1F2937"/>
                <w:sz w:val="15"/>
              </w:rPr>
              <w:t>Geometry/trig + statistics foundations; diagrams, data displays, probability notation.</w:t>
            </w:r>
          </w:p>
        </w:tc>
        <w:tc>
          <w:tcPr>
            <w:tcW w:type="dxa" w:w="2160"/>
            <w:vAlign w:val="center"/>
          </w:tcPr>
          <w:p>
            <w:pPr>
              <w:spacing w:before="0" w:after="20" w:line="240" w:lineRule="auto"/>
            </w:pPr>
            <w:r>
              <w:rPr>
                <w:rFonts w:ascii="Arial" w:hAnsi="Arial" w:eastAsia="Arial"/>
                <w:color w:val="1F2937"/>
                <w:sz w:val="15"/>
              </w:rPr>
              <w:t>Formula/command-term quiz.</w:t>
            </w:r>
          </w:p>
        </w:tc>
        <w:tc>
          <w:tcPr>
            <w:tcW w:type="dxa" w:w="1728"/>
            <w:vAlign w:val="center"/>
          </w:tcPr>
          <w:p>
            <w:pPr>
              <w:spacing w:before="0" w:after="20" w:line="240" w:lineRule="auto"/>
            </w:pPr>
            <w:r>
              <w:rPr>
                <w:rFonts w:ascii="Arial" w:hAnsi="Arial" w:eastAsia="Arial"/>
                <w:color w:val="1F2937"/>
                <w:sz w:val="15"/>
              </w:rPr>
              <w:t>Address interpretation language.</w:t>
            </w:r>
          </w:p>
        </w:tc>
      </w:tr>
      <w:tr>
        <w:tc>
          <w:tcPr>
            <w:tcW w:type="dxa" w:w="792"/>
            <w:vAlign w:val="center"/>
            <w:shd w:fill="F8FAFC"/>
          </w:tcPr>
          <w:p>
            <w:pPr>
              <w:spacing w:before="0" w:after="20" w:line="240" w:lineRule="auto"/>
            </w:pPr>
            <w:r>
              <w:rPr>
                <w:rFonts w:ascii="Arial" w:hAnsi="Arial" w:eastAsia="Arial"/>
                <w:color w:val="1F2937"/>
                <w:sz w:val="15"/>
              </w:rPr>
              <w:t>Week 5 weeks</w:t>
            </w:r>
          </w:p>
        </w:tc>
        <w:tc>
          <w:tcPr>
            <w:tcW w:type="dxa" w:w="1728"/>
            <w:vAlign w:val="center"/>
            <w:shd w:fill="F8FAFC"/>
          </w:tcPr>
          <w:p>
            <w:pPr>
              <w:spacing w:before="0" w:after="20" w:line="240" w:lineRule="auto"/>
            </w:pPr>
            <w:r>
              <w:rPr>
                <w:rFonts w:ascii="Arial" w:hAnsi="Arial" w:eastAsia="Arial"/>
                <w:color w:val="1F2937"/>
                <w:sz w:val="15"/>
              </w:rPr>
              <w:t>Topic rotation 3</w:t>
            </w:r>
          </w:p>
        </w:tc>
        <w:tc>
          <w:tcPr>
            <w:tcW w:type="dxa" w:w="3600"/>
            <w:vAlign w:val="center"/>
            <w:shd w:fill="F8FAFC"/>
          </w:tcPr>
          <w:p>
            <w:pPr>
              <w:spacing w:before="0" w:after="20" w:line="240" w:lineRule="auto"/>
            </w:pPr>
            <w:r>
              <w:rPr>
                <w:rFonts w:ascii="Arial" w:hAnsi="Arial" w:eastAsia="Arial"/>
                <w:color w:val="1F2937"/>
                <w:sz w:val="15"/>
              </w:rPr>
              <w:t>Distributions, inference, calculus; focus on assumptions and contextual conclusions.</w:t>
            </w:r>
          </w:p>
        </w:tc>
        <w:tc>
          <w:tcPr>
            <w:tcW w:type="dxa" w:w="2160"/>
            <w:vAlign w:val="center"/>
            <w:shd w:fill="F8FAFC"/>
          </w:tcPr>
          <w:p>
            <w:pPr>
              <w:spacing w:before="0" w:after="20" w:line="240" w:lineRule="auto"/>
            </w:pPr>
            <w:r>
              <w:rPr>
                <w:rFonts w:ascii="Arial" w:hAnsi="Arial" w:eastAsia="Arial"/>
                <w:color w:val="1F2937"/>
                <w:sz w:val="15"/>
              </w:rPr>
              <w:t>Timed extended responses.</w:t>
            </w:r>
          </w:p>
        </w:tc>
        <w:tc>
          <w:tcPr>
            <w:tcW w:type="dxa" w:w="1728"/>
            <w:vAlign w:val="center"/>
            <w:shd w:fill="F8FAFC"/>
          </w:tcPr>
          <w:p>
            <w:pPr>
              <w:spacing w:before="0" w:after="20" w:line="240" w:lineRule="auto"/>
            </w:pPr>
            <w:r>
              <w:rPr>
                <w:rFonts w:ascii="Arial" w:hAnsi="Arial" w:eastAsia="Arial"/>
                <w:color w:val="1F2937"/>
                <w:sz w:val="15"/>
              </w:rPr>
              <w:t>Review mark allocation and method marks.</w:t>
            </w:r>
          </w:p>
        </w:tc>
      </w:tr>
      <w:tr>
        <w:tc>
          <w:tcPr>
            <w:tcW w:type="dxa" w:w="792"/>
            <w:vAlign w:val="center"/>
          </w:tcPr>
          <w:p>
            <w:pPr>
              <w:spacing w:before="0" w:after="20" w:line="240" w:lineRule="auto"/>
            </w:pPr>
            <w:r>
              <w:rPr>
                <w:rFonts w:ascii="Arial" w:hAnsi="Arial" w:eastAsia="Arial"/>
                <w:color w:val="1F2937"/>
                <w:sz w:val="15"/>
              </w:rPr>
              <w:t>Week 4 weeks</w:t>
            </w:r>
          </w:p>
        </w:tc>
        <w:tc>
          <w:tcPr>
            <w:tcW w:type="dxa" w:w="1728"/>
            <w:vAlign w:val="center"/>
          </w:tcPr>
          <w:p>
            <w:pPr>
              <w:spacing w:before="0" w:after="20" w:line="240" w:lineRule="auto"/>
            </w:pPr>
            <w:r>
              <w:rPr>
                <w:rFonts w:ascii="Arial" w:hAnsi="Arial" w:eastAsia="Arial"/>
                <w:color w:val="1F2937"/>
                <w:sz w:val="15"/>
              </w:rPr>
              <w:t>HL focus / SL consolidation</w:t>
            </w:r>
          </w:p>
        </w:tc>
        <w:tc>
          <w:tcPr>
            <w:tcW w:type="dxa" w:w="3600"/>
            <w:vAlign w:val="center"/>
          </w:tcPr>
          <w:p>
            <w:pPr>
              <w:spacing w:before="0" w:after="20" w:line="240" w:lineRule="auto"/>
            </w:pPr>
            <w:r>
              <w:rPr>
                <w:rFonts w:ascii="Arial" w:hAnsi="Arial" w:eastAsia="Arial"/>
                <w:color w:val="1F2937"/>
                <w:sz w:val="15"/>
              </w:rPr>
              <w:t>SL: Paper 1/2 mixed practice. HL: Paper 3, matrices, graph theory, vectors, DEs.</w:t>
            </w:r>
          </w:p>
        </w:tc>
        <w:tc>
          <w:tcPr>
            <w:tcW w:type="dxa" w:w="2160"/>
            <w:vAlign w:val="center"/>
          </w:tcPr>
          <w:p>
            <w:pPr>
              <w:spacing w:before="0" w:after="20" w:line="240" w:lineRule="auto"/>
            </w:pPr>
            <w:r>
              <w:rPr>
                <w:rFonts w:ascii="Arial" w:hAnsi="Arial" w:eastAsia="Arial"/>
                <w:color w:val="1F2937"/>
                <w:sz w:val="15"/>
              </w:rPr>
              <w:t>Paper corrections with reflection.</w:t>
            </w:r>
          </w:p>
        </w:tc>
        <w:tc>
          <w:tcPr>
            <w:tcW w:type="dxa" w:w="1728"/>
            <w:vAlign w:val="center"/>
          </w:tcPr>
          <w:p>
            <w:pPr>
              <w:spacing w:before="0" w:after="20" w:line="240" w:lineRule="auto"/>
            </w:pPr>
            <w:r>
              <w:rPr>
                <w:rFonts w:ascii="Arial" w:hAnsi="Arial" w:eastAsia="Arial"/>
                <w:color w:val="1F2937"/>
                <w:sz w:val="15"/>
              </w:rPr>
              <w:t>One-on-one conference for red-zone students.</w:t>
            </w:r>
          </w:p>
        </w:tc>
      </w:tr>
      <w:tr>
        <w:tc>
          <w:tcPr>
            <w:tcW w:type="dxa" w:w="792"/>
            <w:vAlign w:val="center"/>
            <w:shd w:fill="F8FAFC"/>
          </w:tcPr>
          <w:p>
            <w:pPr>
              <w:spacing w:before="0" w:after="20" w:line="240" w:lineRule="auto"/>
            </w:pPr>
            <w:r>
              <w:rPr>
                <w:rFonts w:ascii="Arial" w:hAnsi="Arial" w:eastAsia="Arial"/>
                <w:color w:val="1F2937"/>
                <w:sz w:val="15"/>
              </w:rPr>
              <w:t>Week 3 weeks</w:t>
            </w:r>
          </w:p>
        </w:tc>
        <w:tc>
          <w:tcPr>
            <w:tcW w:type="dxa" w:w="1728"/>
            <w:vAlign w:val="center"/>
            <w:shd w:fill="F8FAFC"/>
          </w:tcPr>
          <w:p>
            <w:pPr>
              <w:spacing w:before="0" w:after="20" w:line="240" w:lineRule="auto"/>
            </w:pPr>
            <w:r>
              <w:rPr>
                <w:rFonts w:ascii="Arial" w:hAnsi="Arial" w:eastAsia="Arial"/>
                <w:color w:val="1F2937"/>
                <w:sz w:val="15"/>
              </w:rPr>
              <w:t>Mock papers</w:t>
            </w:r>
          </w:p>
        </w:tc>
        <w:tc>
          <w:tcPr>
            <w:tcW w:type="dxa" w:w="3600"/>
            <w:vAlign w:val="center"/>
            <w:shd w:fill="F8FAFC"/>
          </w:tcPr>
          <w:p>
            <w:pPr>
              <w:spacing w:before="0" w:after="20" w:line="240" w:lineRule="auto"/>
            </w:pPr>
            <w:r>
              <w:rPr>
                <w:rFonts w:ascii="Arial" w:hAnsi="Arial" w:eastAsia="Arial"/>
                <w:color w:val="1F2937"/>
                <w:sz w:val="15"/>
              </w:rPr>
              <w:t>Full paper under timed conditions; mark and code errors.</w:t>
            </w:r>
          </w:p>
        </w:tc>
        <w:tc>
          <w:tcPr>
            <w:tcW w:type="dxa" w:w="2160"/>
            <w:vAlign w:val="center"/>
            <w:shd w:fill="F8FAFC"/>
          </w:tcPr>
          <w:p>
            <w:pPr>
              <w:spacing w:before="0" w:after="20" w:line="240" w:lineRule="auto"/>
            </w:pPr>
            <w:r>
              <w:rPr>
                <w:rFonts w:ascii="Arial" w:hAnsi="Arial" w:eastAsia="Arial"/>
                <w:color w:val="1F2937"/>
                <w:sz w:val="15"/>
              </w:rPr>
              <w:t>Updated tracker; predicted grade.</w:t>
            </w:r>
          </w:p>
        </w:tc>
        <w:tc>
          <w:tcPr>
            <w:tcW w:type="dxa" w:w="1728"/>
            <w:vAlign w:val="center"/>
            <w:shd w:fill="F8FAFC"/>
          </w:tcPr>
          <w:p>
            <w:pPr>
              <w:spacing w:before="0" w:after="20" w:line="240" w:lineRule="auto"/>
            </w:pPr>
            <w:r>
              <w:rPr>
                <w:rFonts w:ascii="Arial" w:hAnsi="Arial" w:eastAsia="Arial"/>
                <w:color w:val="1F2937"/>
                <w:sz w:val="15"/>
              </w:rPr>
              <w:t>Set revision priorities by topic and skill.</w:t>
            </w:r>
          </w:p>
        </w:tc>
      </w:tr>
      <w:tr>
        <w:tc>
          <w:tcPr>
            <w:tcW w:type="dxa" w:w="792"/>
            <w:vAlign w:val="center"/>
          </w:tcPr>
          <w:p>
            <w:pPr>
              <w:spacing w:before="0" w:after="20" w:line="240" w:lineRule="auto"/>
            </w:pPr>
            <w:r>
              <w:rPr>
                <w:rFonts w:ascii="Arial" w:hAnsi="Arial" w:eastAsia="Arial"/>
                <w:color w:val="1F2937"/>
                <w:sz w:val="15"/>
              </w:rPr>
              <w:t>Week 2 weeks</w:t>
            </w:r>
          </w:p>
        </w:tc>
        <w:tc>
          <w:tcPr>
            <w:tcW w:type="dxa" w:w="1728"/>
            <w:vAlign w:val="center"/>
          </w:tcPr>
          <w:p>
            <w:pPr>
              <w:spacing w:before="0" w:after="20" w:line="240" w:lineRule="auto"/>
            </w:pPr>
            <w:r>
              <w:rPr>
                <w:rFonts w:ascii="Arial" w:hAnsi="Arial" w:eastAsia="Arial"/>
                <w:color w:val="1F2937"/>
                <w:sz w:val="15"/>
              </w:rPr>
              <w:t>Repair week</w:t>
            </w:r>
          </w:p>
        </w:tc>
        <w:tc>
          <w:tcPr>
            <w:tcW w:type="dxa" w:w="3600"/>
            <w:vAlign w:val="center"/>
          </w:tcPr>
          <w:p>
            <w:pPr>
              <w:spacing w:before="0" w:after="20" w:line="240" w:lineRule="auto"/>
            </w:pPr>
            <w:r>
              <w:rPr>
                <w:rFonts w:ascii="Arial" w:hAnsi="Arial" w:eastAsia="Arial"/>
                <w:color w:val="1F2937"/>
                <w:sz w:val="15"/>
              </w:rPr>
              <w:t>Targeted reteach; formula fluency; calculator settings and tech output interpretation.</w:t>
            </w:r>
          </w:p>
        </w:tc>
        <w:tc>
          <w:tcPr>
            <w:tcW w:type="dxa" w:w="2160"/>
            <w:vAlign w:val="center"/>
          </w:tcPr>
          <w:p>
            <w:pPr>
              <w:spacing w:before="0" w:after="20" w:line="240" w:lineRule="auto"/>
            </w:pPr>
            <w:r>
              <w:rPr>
                <w:rFonts w:ascii="Arial" w:hAnsi="Arial" w:eastAsia="Arial"/>
                <w:color w:val="1F2937"/>
                <w:sz w:val="15"/>
              </w:rPr>
              <w:t>Mini-paper retakes.</w:t>
            </w:r>
          </w:p>
        </w:tc>
        <w:tc>
          <w:tcPr>
            <w:tcW w:type="dxa" w:w="1728"/>
            <w:vAlign w:val="center"/>
          </w:tcPr>
          <w:p>
            <w:pPr>
              <w:spacing w:before="0" w:after="20" w:line="240" w:lineRule="auto"/>
            </w:pPr>
            <w:r>
              <w:rPr>
                <w:rFonts w:ascii="Arial" w:hAnsi="Arial" w:eastAsia="Arial"/>
                <w:color w:val="1F2937"/>
                <w:sz w:val="15"/>
              </w:rPr>
              <w:t>Focus on high-return common errors.</w:t>
            </w:r>
          </w:p>
        </w:tc>
      </w:tr>
      <w:tr>
        <w:tc>
          <w:tcPr>
            <w:tcW w:type="dxa" w:w="792"/>
            <w:vAlign w:val="center"/>
            <w:shd w:fill="F8FAFC"/>
          </w:tcPr>
          <w:p>
            <w:pPr>
              <w:spacing w:before="0" w:after="20" w:line="240" w:lineRule="auto"/>
            </w:pPr>
            <w:r>
              <w:rPr>
                <w:rFonts w:ascii="Arial" w:hAnsi="Arial" w:eastAsia="Arial"/>
                <w:color w:val="1F2937"/>
                <w:sz w:val="15"/>
              </w:rPr>
              <w:t>Week 1 week</w:t>
            </w:r>
          </w:p>
        </w:tc>
        <w:tc>
          <w:tcPr>
            <w:tcW w:type="dxa" w:w="1728"/>
            <w:vAlign w:val="center"/>
            <w:shd w:fill="F8FAFC"/>
          </w:tcPr>
          <w:p>
            <w:pPr>
              <w:spacing w:before="0" w:after="20" w:line="240" w:lineRule="auto"/>
            </w:pPr>
            <w:r>
              <w:rPr>
                <w:rFonts w:ascii="Arial" w:hAnsi="Arial" w:eastAsia="Arial"/>
                <w:color w:val="1F2937"/>
                <w:sz w:val="15"/>
              </w:rPr>
              <w:t>Exam readiness</w:t>
            </w:r>
          </w:p>
        </w:tc>
        <w:tc>
          <w:tcPr>
            <w:tcW w:type="dxa" w:w="3600"/>
            <w:vAlign w:val="center"/>
            <w:shd w:fill="F8FAFC"/>
          </w:tcPr>
          <w:p>
            <w:pPr>
              <w:spacing w:before="0" w:after="20" w:line="240" w:lineRule="auto"/>
            </w:pPr>
            <w:r>
              <w:rPr>
                <w:rFonts w:ascii="Arial" w:hAnsi="Arial" w:eastAsia="Arial"/>
                <w:color w:val="1F2937"/>
                <w:sz w:val="15"/>
              </w:rPr>
              <w:t>Sleep, equipment, timing plans, formula booklet familiarity, command terms.</w:t>
            </w:r>
          </w:p>
        </w:tc>
        <w:tc>
          <w:tcPr>
            <w:tcW w:type="dxa" w:w="2160"/>
            <w:vAlign w:val="center"/>
            <w:shd w:fill="F8FAFC"/>
          </w:tcPr>
          <w:p>
            <w:pPr>
              <w:spacing w:before="0" w:after="20" w:line="240" w:lineRule="auto"/>
            </w:pPr>
            <w:r>
              <w:rPr>
                <w:rFonts w:ascii="Arial" w:hAnsi="Arial" w:eastAsia="Arial"/>
                <w:color w:val="1F2937"/>
                <w:sz w:val="15"/>
              </w:rPr>
              <w:t>Final checklist signed.</w:t>
            </w:r>
          </w:p>
        </w:tc>
        <w:tc>
          <w:tcPr>
            <w:tcW w:type="dxa" w:w="1728"/>
            <w:vAlign w:val="center"/>
            <w:shd w:fill="F8FAFC"/>
          </w:tcPr>
          <w:p>
            <w:pPr>
              <w:spacing w:before="0" w:after="20" w:line="240" w:lineRule="auto"/>
            </w:pPr>
            <w:r>
              <w:rPr>
                <w:rFonts w:ascii="Arial" w:hAnsi="Arial" w:eastAsia="Arial"/>
                <w:color w:val="1F2937"/>
                <w:sz w:val="15"/>
              </w:rPr>
              <w:t>Avoid new content; confidence and precision.</w:t>
            </w:r>
          </w:p>
        </w:tc>
      </w:tr>
    </w:tbl>
    <w:p/>
    <w:p>
      <w:pPr>
        <w:spacing w:before="0" w:after="80" w:line="240" w:lineRule="auto"/>
      </w:pPr>
      <w:r>
        <w:t>The best final review is cumulative and diagnostic. Students should not simply redo chapters; they should use results from timed practice to decide the next revision block.</w:t>
      </w:r>
    </w:p>
    <w:p>
      <w:r>
        <w:br w:type="page"/>
      </w:r>
    </w:p>
    <w:p>
      <w:pPr>
        <w:pStyle w:val="Heading1"/>
        <w:spacing w:before="120" w:after="120" w:line="240" w:lineRule="auto"/>
      </w:pPr>
      <w:r>
        <w:t>9. Student checklist</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1584"/>
            <w:shd w:fill="0E9AA7"/>
            <w:vAlign w:val="center"/>
          </w:tcPr>
          <w:p>
            <w:pPr>
              <w:spacing w:before="0" w:after="20" w:line="240" w:lineRule="auto"/>
            </w:pPr>
            <w:r>
              <w:rPr>
                <w:b/>
                <w:color w:val="FFFFFF"/>
                <w:sz w:val="15"/>
              </w:rPr>
              <w:t>Category</w:t>
            </w:r>
          </w:p>
        </w:tc>
        <w:tc>
          <w:tcPr>
            <w:tcW w:type="dxa" w:w="3744"/>
            <w:shd w:fill="0E9AA7"/>
            <w:vAlign w:val="center"/>
          </w:tcPr>
          <w:p>
            <w:pPr>
              <w:spacing w:before="0" w:after="20" w:line="240" w:lineRule="auto"/>
            </w:pPr>
            <w:r>
              <w:rPr>
                <w:b/>
                <w:color w:val="FFFFFF"/>
                <w:sz w:val="15"/>
              </w:rPr>
              <w:t>Task</w:t>
            </w:r>
          </w:p>
        </w:tc>
        <w:tc>
          <w:tcPr>
            <w:tcW w:type="dxa" w:w="2880"/>
            <w:shd w:fill="0E9AA7"/>
            <w:vAlign w:val="center"/>
          </w:tcPr>
          <w:p>
            <w:pPr>
              <w:spacing w:before="0" w:after="20" w:line="240" w:lineRule="auto"/>
            </w:pPr>
            <w:r>
              <w:rPr>
                <w:b/>
                <w:color w:val="FFFFFF"/>
                <w:sz w:val="15"/>
              </w:rPr>
              <w:t>Evidence</w:t>
            </w:r>
          </w:p>
        </w:tc>
        <w:tc>
          <w:tcPr>
            <w:tcW w:type="dxa" w:w="1728"/>
            <w:shd w:fill="0E9AA7"/>
            <w:vAlign w:val="center"/>
          </w:tcPr>
          <w:p>
            <w:pPr>
              <w:spacing w:before="0" w:after="20" w:line="240" w:lineRule="auto"/>
            </w:pPr>
            <w:r>
              <w:rPr>
                <w:b/>
                <w:color w:val="FFFFFF"/>
                <w:sz w:val="15"/>
              </w:rPr>
              <w:t>Timing</w:t>
            </w:r>
          </w:p>
        </w:tc>
      </w:tr>
      <w:tr>
        <w:tc>
          <w:tcPr>
            <w:tcW w:type="dxa" w:w="1584"/>
            <w:vAlign w:val="center"/>
          </w:tcPr>
          <w:p>
            <w:pPr>
              <w:spacing w:before="0" w:after="20" w:line="240" w:lineRule="auto"/>
            </w:pPr>
            <w:r>
              <w:rPr>
                <w:rFonts w:ascii="Arial" w:hAnsi="Arial" w:eastAsia="Arial"/>
                <w:color w:val="1F2937"/>
                <w:sz w:val="15"/>
              </w:rPr>
              <w:t>Teacher setup</w:t>
            </w:r>
          </w:p>
        </w:tc>
        <w:tc>
          <w:tcPr>
            <w:tcW w:type="dxa" w:w="3744"/>
            <w:vAlign w:val="center"/>
          </w:tcPr>
          <w:p>
            <w:pPr>
              <w:spacing w:before="0" w:after="20" w:line="240" w:lineRule="auto"/>
            </w:pPr>
            <w:r>
              <w:rPr>
                <w:rFonts w:ascii="Arial" w:hAnsi="Arial" w:eastAsia="Arial"/>
                <w:color w:val="1F2937"/>
                <w:sz w:val="15"/>
              </w:rPr>
              <w:t>Confirm exam session and whether 2021-current or 2029+ guide applies.</w:t>
            </w:r>
          </w:p>
        </w:tc>
        <w:tc>
          <w:tcPr>
            <w:tcW w:type="dxa" w:w="2880"/>
            <w:vAlign w:val="center"/>
          </w:tcPr>
          <w:p>
            <w:pPr>
              <w:spacing w:before="0" w:after="20" w:line="240" w:lineRule="auto"/>
            </w:pPr>
            <w:r>
              <w:rPr>
                <w:rFonts w:ascii="Arial" w:hAnsi="Arial" w:eastAsia="Arial"/>
                <w:color w:val="1F2937"/>
                <w:sz w:val="15"/>
              </w:rPr>
              <w:t>Not started</w:t>
            </w:r>
          </w:p>
        </w:tc>
        <w:tc>
          <w:tcPr>
            <w:tcW w:type="dxa" w:w="1728"/>
            <w:vAlign w:val="center"/>
          </w:tcPr>
          <w:p>
            <w:pPr>
              <w:spacing w:before="0" w:after="20" w:line="240" w:lineRule="auto"/>
            </w:pPr>
            <w:r>
              <w:rPr>
                <w:rFonts w:ascii="Arial" w:hAnsi="Arial" w:eastAsia="Arial"/>
                <w:color w:val="1F2937"/>
                <w:sz w:val="15"/>
              </w:rPr>
            </w:r>
          </w:p>
        </w:tc>
      </w:tr>
      <w:tr>
        <w:tc>
          <w:tcPr>
            <w:tcW w:type="dxa" w:w="1584"/>
            <w:vAlign w:val="center"/>
            <w:shd w:fill="F8FAFC"/>
          </w:tcPr>
          <w:p>
            <w:pPr>
              <w:spacing w:before="0" w:after="20" w:line="240" w:lineRule="auto"/>
            </w:pPr>
            <w:r>
              <w:rPr>
                <w:rFonts w:ascii="Arial" w:hAnsi="Arial" w:eastAsia="Arial"/>
                <w:color w:val="1F2937"/>
                <w:sz w:val="15"/>
              </w:rPr>
              <w:t>Teacher setup</w:t>
            </w:r>
          </w:p>
        </w:tc>
        <w:tc>
          <w:tcPr>
            <w:tcW w:type="dxa" w:w="3744"/>
            <w:vAlign w:val="center"/>
            <w:shd w:fill="F8FAFC"/>
          </w:tcPr>
          <w:p>
            <w:pPr>
              <w:spacing w:before="0" w:after="20" w:line="240" w:lineRule="auto"/>
            </w:pPr>
            <w:r>
              <w:rPr>
                <w:rFonts w:ascii="Arial" w:hAnsi="Arial" w:eastAsia="Arial"/>
                <w:color w:val="1F2937"/>
                <w:sz w:val="15"/>
              </w:rPr>
              <w:t>Download official subject guide, formula booklet, specimen/past-paper resources from IB-approved channels.</w:t>
            </w:r>
          </w:p>
        </w:tc>
        <w:tc>
          <w:tcPr>
            <w:tcW w:type="dxa" w:w="2880"/>
            <w:vAlign w:val="center"/>
            <w:shd w:fill="F8FAFC"/>
          </w:tcPr>
          <w:p>
            <w:pPr>
              <w:spacing w:before="0" w:after="20" w:line="240" w:lineRule="auto"/>
            </w:pPr>
            <w:r>
              <w:rPr>
                <w:rFonts w:ascii="Arial" w:hAnsi="Arial" w:eastAsia="Arial"/>
                <w:color w:val="1F2937"/>
                <w:sz w:val="15"/>
              </w:rPr>
              <w:t>Not started</w:t>
            </w:r>
          </w:p>
        </w:tc>
        <w:tc>
          <w:tcPr>
            <w:tcW w:type="dxa" w:w="1728"/>
            <w:vAlign w:val="center"/>
            <w:shd w:fill="F8FAFC"/>
          </w:tcPr>
          <w:p>
            <w:pPr>
              <w:spacing w:before="0" w:after="20" w:line="240" w:lineRule="auto"/>
            </w:pPr>
            <w:r>
              <w:rPr>
                <w:rFonts w:ascii="Arial" w:hAnsi="Arial" w:eastAsia="Arial"/>
                <w:color w:val="1F2937"/>
                <w:sz w:val="15"/>
              </w:rPr>
            </w:r>
          </w:p>
        </w:tc>
      </w:tr>
      <w:tr>
        <w:tc>
          <w:tcPr>
            <w:tcW w:type="dxa" w:w="1584"/>
            <w:vAlign w:val="center"/>
          </w:tcPr>
          <w:p>
            <w:pPr>
              <w:spacing w:before="0" w:after="20" w:line="240" w:lineRule="auto"/>
            </w:pPr>
            <w:r>
              <w:rPr>
                <w:rFonts w:ascii="Arial" w:hAnsi="Arial" w:eastAsia="Arial"/>
                <w:color w:val="1F2937"/>
                <w:sz w:val="15"/>
              </w:rPr>
              <w:t>Teacher setup</w:t>
            </w:r>
          </w:p>
        </w:tc>
        <w:tc>
          <w:tcPr>
            <w:tcW w:type="dxa" w:w="3744"/>
            <w:vAlign w:val="center"/>
          </w:tcPr>
          <w:p>
            <w:pPr>
              <w:spacing w:before="0" w:after="20" w:line="240" w:lineRule="auto"/>
            </w:pPr>
            <w:r>
              <w:rPr>
                <w:rFonts w:ascii="Arial" w:hAnsi="Arial" w:eastAsia="Arial"/>
                <w:color w:val="1F2937"/>
                <w:sz w:val="15"/>
              </w:rPr>
              <w:t>Set GDC/spreadsheet expectations and technology-language policy.</w:t>
            </w:r>
          </w:p>
        </w:tc>
        <w:tc>
          <w:tcPr>
            <w:tcW w:type="dxa" w:w="2880"/>
            <w:vAlign w:val="center"/>
          </w:tcPr>
          <w:p>
            <w:pPr>
              <w:spacing w:before="0" w:after="20" w:line="240" w:lineRule="auto"/>
            </w:pPr>
            <w:r>
              <w:rPr>
                <w:rFonts w:ascii="Arial" w:hAnsi="Arial" w:eastAsia="Arial"/>
                <w:color w:val="1F2937"/>
                <w:sz w:val="15"/>
              </w:rPr>
              <w:t>Not started</w:t>
            </w:r>
          </w:p>
        </w:tc>
        <w:tc>
          <w:tcPr>
            <w:tcW w:type="dxa" w:w="1728"/>
            <w:vAlign w:val="center"/>
          </w:tcPr>
          <w:p>
            <w:pPr>
              <w:spacing w:before="0" w:after="20" w:line="240" w:lineRule="auto"/>
            </w:pPr>
            <w:r>
              <w:rPr>
                <w:rFonts w:ascii="Arial" w:hAnsi="Arial" w:eastAsia="Arial"/>
                <w:color w:val="1F2937"/>
                <w:sz w:val="15"/>
              </w:rPr>
            </w:r>
          </w:p>
        </w:tc>
      </w:tr>
      <w:tr>
        <w:tc>
          <w:tcPr>
            <w:tcW w:type="dxa" w:w="1584"/>
            <w:vAlign w:val="center"/>
            <w:shd w:fill="F8FAFC"/>
          </w:tcPr>
          <w:p>
            <w:pPr>
              <w:spacing w:before="0" w:after="20" w:line="240" w:lineRule="auto"/>
            </w:pPr>
            <w:r>
              <w:rPr>
                <w:rFonts w:ascii="Arial" w:hAnsi="Arial" w:eastAsia="Arial"/>
                <w:color w:val="1F2937"/>
                <w:sz w:val="15"/>
              </w:rPr>
              <w:t>Teacher setup</w:t>
            </w:r>
          </w:p>
        </w:tc>
        <w:tc>
          <w:tcPr>
            <w:tcW w:type="dxa" w:w="3744"/>
            <w:vAlign w:val="center"/>
            <w:shd w:fill="F8FAFC"/>
          </w:tcPr>
          <w:p>
            <w:pPr>
              <w:spacing w:before="0" w:after="20" w:line="240" w:lineRule="auto"/>
            </w:pPr>
            <w:r>
              <w:rPr>
                <w:rFonts w:ascii="Arial" w:hAnsi="Arial" w:eastAsia="Arial"/>
                <w:color w:val="1F2937"/>
                <w:sz w:val="15"/>
              </w:rPr>
              <w:t>Build assessment calendar with IA milestones and mock papers.</w:t>
            </w:r>
          </w:p>
        </w:tc>
        <w:tc>
          <w:tcPr>
            <w:tcW w:type="dxa" w:w="2880"/>
            <w:vAlign w:val="center"/>
            <w:shd w:fill="F8FAFC"/>
          </w:tcPr>
          <w:p>
            <w:pPr>
              <w:spacing w:before="0" w:after="20" w:line="240" w:lineRule="auto"/>
            </w:pPr>
            <w:r>
              <w:rPr>
                <w:rFonts w:ascii="Arial" w:hAnsi="Arial" w:eastAsia="Arial"/>
                <w:color w:val="1F2937"/>
                <w:sz w:val="15"/>
              </w:rPr>
              <w:t>Not started</w:t>
            </w:r>
          </w:p>
        </w:tc>
        <w:tc>
          <w:tcPr>
            <w:tcW w:type="dxa" w:w="1728"/>
            <w:vAlign w:val="center"/>
            <w:shd w:fill="F8FAFC"/>
          </w:tcPr>
          <w:p>
            <w:pPr>
              <w:spacing w:before="0" w:after="20" w:line="240" w:lineRule="auto"/>
            </w:pPr>
            <w:r>
              <w:rPr>
                <w:rFonts w:ascii="Arial" w:hAnsi="Arial" w:eastAsia="Arial"/>
                <w:color w:val="1F2937"/>
                <w:sz w:val="15"/>
              </w:rPr>
            </w:r>
          </w:p>
        </w:tc>
      </w:tr>
      <w:tr>
        <w:tc>
          <w:tcPr>
            <w:tcW w:type="dxa" w:w="1584"/>
            <w:vAlign w:val="center"/>
          </w:tcPr>
          <w:p>
            <w:pPr>
              <w:spacing w:before="0" w:after="20" w:line="240" w:lineRule="auto"/>
            </w:pPr>
            <w:r>
              <w:rPr>
                <w:rFonts w:ascii="Arial" w:hAnsi="Arial" w:eastAsia="Arial"/>
                <w:color w:val="1F2937"/>
                <w:sz w:val="15"/>
              </w:rPr>
              <w:t>Lesson planning</w:t>
            </w:r>
          </w:p>
        </w:tc>
        <w:tc>
          <w:tcPr>
            <w:tcW w:type="dxa" w:w="3744"/>
            <w:vAlign w:val="center"/>
          </w:tcPr>
          <w:p>
            <w:pPr>
              <w:spacing w:before="0" w:after="20" w:line="240" w:lineRule="auto"/>
            </w:pPr>
            <w:r>
              <w:rPr>
                <w:rFonts w:ascii="Arial" w:hAnsi="Arial" w:eastAsia="Arial"/>
                <w:color w:val="1F2937"/>
                <w:sz w:val="15"/>
              </w:rPr>
              <w:t>Each unit includes modelling, technology, interpretation, and communication objectives.</w:t>
            </w:r>
          </w:p>
        </w:tc>
        <w:tc>
          <w:tcPr>
            <w:tcW w:type="dxa" w:w="2880"/>
            <w:vAlign w:val="center"/>
          </w:tcPr>
          <w:p>
            <w:pPr>
              <w:spacing w:before="0" w:after="20" w:line="240" w:lineRule="auto"/>
            </w:pPr>
            <w:r>
              <w:rPr>
                <w:rFonts w:ascii="Arial" w:hAnsi="Arial" w:eastAsia="Arial"/>
                <w:color w:val="1F2937"/>
                <w:sz w:val="15"/>
              </w:rPr>
              <w:t>Not started</w:t>
            </w:r>
          </w:p>
        </w:tc>
        <w:tc>
          <w:tcPr>
            <w:tcW w:type="dxa" w:w="1728"/>
            <w:vAlign w:val="center"/>
          </w:tcPr>
          <w:p>
            <w:pPr>
              <w:spacing w:before="0" w:after="20" w:line="240" w:lineRule="auto"/>
            </w:pPr>
            <w:r>
              <w:rPr>
                <w:rFonts w:ascii="Arial" w:hAnsi="Arial" w:eastAsia="Arial"/>
                <w:color w:val="1F2937"/>
                <w:sz w:val="15"/>
              </w:rPr>
            </w:r>
          </w:p>
        </w:tc>
      </w:tr>
      <w:tr>
        <w:tc>
          <w:tcPr>
            <w:tcW w:type="dxa" w:w="1584"/>
            <w:vAlign w:val="center"/>
            <w:shd w:fill="F8FAFC"/>
          </w:tcPr>
          <w:p>
            <w:pPr>
              <w:spacing w:before="0" w:after="20" w:line="240" w:lineRule="auto"/>
            </w:pPr>
            <w:r>
              <w:rPr>
                <w:rFonts w:ascii="Arial" w:hAnsi="Arial" w:eastAsia="Arial"/>
                <w:color w:val="1F2937"/>
                <w:sz w:val="15"/>
              </w:rPr>
              <w:t>Lesson planning</w:t>
            </w:r>
          </w:p>
        </w:tc>
        <w:tc>
          <w:tcPr>
            <w:tcW w:type="dxa" w:w="3744"/>
            <w:vAlign w:val="center"/>
            <w:shd w:fill="F8FAFC"/>
          </w:tcPr>
          <w:p>
            <w:pPr>
              <w:spacing w:before="0" w:after="20" w:line="240" w:lineRule="auto"/>
            </w:pPr>
            <w:r>
              <w:rPr>
                <w:rFonts w:ascii="Arial" w:hAnsi="Arial" w:eastAsia="Arial"/>
                <w:color w:val="1F2937"/>
                <w:sz w:val="15"/>
              </w:rPr>
              <w:t>Each week includes retrieval practice and an exit ticket.</w:t>
            </w:r>
          </w:p>
        </w:tc>
        <w:tc>
          <w:tcPr>
            <w:tcW w:type="dxa" w:w="2880"/>
            <w:vAlign w:val="center"/>
            <w:shd w:fill="F8FAFC"/>
          </w:tcPr>
          <w:p>
            <w:pPr>
              <w:spacing w:before="0" w:after="20" w:line="240" w:lineRule="auto"/>
            </w:pPr>
            <w:r>
              <w:rPr>
                <w:rFonts w:ascii="Arial" w:hAnsi="Arial" w:eastAsia="Arial"/>
                <w:color w:val="1F2937"/>
                <w:sz w:val="15"/>
              </w:rPr>
              <w:t>Not started</w:t>
            </w:r>
          </w:p>
        </w:tc>
        <w:tc>
          <w:tcPr>
            <w:tcW w:type="dxa" w:w="1728"/>
            <w:vAlign w:val="center"/>
            <w:shd w:fill="F8FAFC"/>
          </w:tcPr>
          <w:p>
            <w:pPr>
              <w:spacing w:before="0" w:after="20" w:line="240" w:lineRule="auto"/>
            </w:pPr>
            <w:r>
              <w:rPr>
                <w:rFonts w:ascii="Arial" w:hAnsi="Arial" w:eastAsia="Arial"/>
                <w:color w:val="1F2937"/>
                <w:sz w:val="15"/>
              </w:rPr>
            </w:r>
          </w:p>
        </w:tc>
      </w:tr>
      <w:tr>
        <w:tc>
          <w:tcPr>
            <w:tcW w:type="dxa" w:w="1584"/>
            <w:vAlign w:val="center"/>
          </w:tcPr>
          <w:p>
            <w:pPr>
              <w:spacing w:before="0" w:after="20" w:line="240" w:lineRule="auto"/>
            </w:pPr>
            <w:r>
              <w:rPr>
                <w:rFonts w:ascii="Arial" w:hAnsi="Arial" w:eastAsia="Arial"/>
                <w:color w:val="1F2937"/>
                <w:sz w:val="15"/>
              </w:rPr>
              <w:t>Lesson planning</w:t>
            </w:r>
          </w:p>
        </w:tc>
        <w:tc>
          <w:tcPr>
            <w:tcW w:type="dxa" w:w="3744"/>
            <w:vAlign w:val="center"/>
          </w:tcPr>
          <w:p>
            <w:pPr>
              <w:spacing w:before="0" w:after="20" w:line="240" w:lineRule="auto"/>
            </w:pPr>
            <w:r>
              <w:rPr>
                <w:rFonts w:ascii="Arial" w:hAnsi="Arial" w:eastAsia="Arial"/>
                <w:color w:val="1F2937"/>
                <w:sz w:val="15"/>
              </w:rPr>
              <w:t>HL extension tasks are marked clearly so SL students are not over-assessed.</w:t>
            </w:r>
          </w:p>
        </w:tc>
        <w:tc>
          <w:tcPr>
            <w:tcW w:type="dxa" w:w="2880"/>
            <w:vAlign w:val="center"/>
          </w:tcPr>
          <w:p>
            <w:pPr>
              <w:spacing w:before="0" w:after="20" w:line="240" w:lineRule="auto"/>
            </w:pPr>
            <w:r>
              <w:rPr>
                <w:rFonts w:ascii="Arial" w:hAnsi="Arial" w:eastAsia="Arial"/>
                <w:color w:val="1F2937"/>
                <w:sz w:val="15"/>
              </w:rPr>
              <w:t>Not started</w:t>
            </w:r>
          </w:p>
        </w:tc>
        <w:tc>
          <w:tcPr>
            <w:tcW w:type="dxa" w:w="1728"/>
            <w:vAlign w:val="center"/>
          </w:tcPr>
          <w:p>
            <w:pPr>
              <w:spacing w:before="0" w:after="20" w:line="240" w:lineRule="auto"/>
            </w:pPr>
            <w:r>
              <w:rPr>
                <w:rFonts w:ascii="Arial" w:hAnsi="Arial" w:eastAsia="Arial"/>
                <w:color w:val="1F2937"/>
                <w:sz w:val="15"/>
              </w:rPr>
            </w:r>
          </w:p>
        </w:tc>
      </w:tr>
      <w:tr>
        <w:tc>
          <w:tcPr>
            <w:tcW w:type="dxa" w:w="1584"/>
            <w:vAlign w:val="center"/>
            <w:shd w:fill="F8FAFC"/>
          </w:tcPr>
          <w:p>
            <w:pPr>
              <w:spacing w:before="0" w:after="20" w:line="240" w:lineRule="auto"/>
            </w:pPr>
            <w:r>
              <w:rPr>
                <w:rFonts w:ascii="Arial" w:hAnsi="Arial" w:eastAsia="Arial"/>
                <w:color w:val="1F2937"/>
                <w:sz w:val="15"/>
              </w:rPr>
              <w:t>Student</w:t>
            </w:r>
          </w:p>
        </w:tc>
        <w:tc>
          <w:tcPr>
            <w:tcW w:type="dxa" w:w="3744"/>
            <w:vAlign w:val="center"/>
            <w:shd w:fill="F8FAFC"/>
          </w:tcPr>
          <w:p>
            <w:pPr>
              <w:spacing w:before="0" w:after="20" w:line="240" w:lineRule="auto"/>
            </w:pPr>
            <w:r>
              <w:rPr>
                <w:rFonts w:ascii="Arial" w:hAnsi="Arial" w:eastAsia="Arial"/>
                <w:color w:val="1F2937"/>
                <w:sz w:val="15"/>
              </w:rPr>
              <w:t>I can explain when a calculator output is acceptable and how to support it with working.</w:t>
            </w:r>
          </w:p>
        </w:tc>
        <w:tc>
          <w:tcPr>
            <w:tcW w:type="dxa" w:w="2880"/>
            <w:vAlign w:val="center"/>
            <w:shd w:fill="F8FAFC"/>
          </w:tcPr>
          <w:p>
            <w:pPr>
              <w:spacing w:before="0" w:after="20" w:line="240" w:lineRule="auto"/>
            </w:pPr>
            <w:r>
              <w:rPr>
                <w:rFonts w:ascii="Arial" w:hAnsi="Arial" w:eastAsia="Arial"/>
                <w:color w:val="1F2937"/>
                <w:sz w:val="15"/>
              </w:rPr>
              <w:t>Not started</w:t>
            </w:r>
          </w:p>
        </w:tc>
        <w:tc>
          <w:tcPr>
            <w:tcW w:type="dxa" w:w="1728"/>
            <w:vAlign w:val="center"/>
            <w:shd w:fill="F8FAFC"/>
          </w:tcPr>
          <w:p>
            <w:pPr>
              <w:spacing w:before="0" w:after="20" w:line="240" w:lineRule="auto"/>
            </w:pPr>
            <w:r>
              <w:rPr>
                <w:rFonts w:ascii="Arial" w:hAnsi="Arial" w:eastAsia="Arial"/>
                <w:color w:val="1F2937"/>
                <w:sz w:val="15"/>
              </w:rPr>
            </w:r>
          </w:p>
        </w:tc>
      </w:tr>
      <w:tr>
        <w:tc>
          <w:tcPr>
            <w:tcW w:type="dxa" w:w="1584"/>
            <w:vAlign w:val="center"/>
          </w:tcPr>
          <w:p>
            <w:pPr>
              <w:spacing w:before="0" w:after="20" w:line="240" w:lineRule="auto"/>
            </w:pPr>
            <w:r>
              <w:rPr>
                <w:rFonts w:ascii="Arial" w:hAnsi="Arial" w:eastAsia="Arial"/>
                <w:color w:val="1F2937"/>
                <w:sz w:val="15"/>
              </w:rPr>
              <w:t>Student</w:t>
            </w:r>
          </w:p>
        </w:tc>
        <w:tc>
          <w:tcPr>
            <w:tcW w:type="dxa" w:w="3744"/>
            <w:vAlign w:val="center"/>
          </w:tcPr>
          <w:p>
            <w:pPr>
              <w:spacing w:before="0" w:after="20" w:line="240" w:lineRule="auto"/>
            </w:pPr>
            <w:r>
              <w:rPr>
                <w:rFonts w:ascii="Arial" w:hAnsi="Arial" w:eastAsia="Arial"/>
                <w:color w:val="1F2937"/>
                <w:sz w:val="15"/>
              </w:rPr>
              <w:t>I maintain an error log with topic, error type, correction, and next step.</w:t>
            </w:r>
          </w:p>
        </w:tc>
        <w:tc>
          <w:tcPr>
            <w:tcW w:type="dxa" w:w="2880"/>
            <w:vAlign w:val="center"/>
          </w:tcPr>
          <w:p>
            <w:pPr>
              <w:spacing w:before="0" w:after="20" w:line="240" w:lineRule="auto"/>
            </w:pPr>
            <w:r>
              <w:rPr>
                <w:rFonts w:ascii="Arial" w:hAnsi="Arial" w:eastAsia="Arial"/>
                <w:color w:val="1F2937"/>
                <w:sz w:val="15"/>
              </w:rPr>
              <w:t>Not started</w:t>
            </w:r>
          </w:p>
        </w:tc>
        <w:tc>
          <w:tcPr>
            <w:tcW w:type="dxa" w:w="1728"/>
            <w:vAlign w:val="center"/>
          </w:tcPr>
          <w:p>
            <w:pPr>
              <w:spacing w:before="0" w:after="20" w:line="240" w:lineRule="auto"/>
            </w:pPr>
            <w:r>
              <w:rPr>
                <w:rFonts w:ascii="Arial" w:hAnsi="Arial" w:eastAsia="Arial"/>
                <w:color w:val="1F2937"/>
                <w:sz w:val="15"/>
              </w:rPr>
            </w:r>
          </w:p>
        </w:tc>
      </w:tr>
      <w:tr>
        <w:tc>
          <w:tcPr>
            <w:tcW w:type="dxa" w:w="1584"/>
            <w:vAlign w:val="center"/>
            <w:shd w:fill="F8FAFC"/>
          </w:tcPr>
          <w:p>
            <w:pPr>
              <w:spacing w:before="0" w:after="20" w:line="240" w:lineRule="auto"/>
            </w:pPr>
            <w:r>
              <w:rPr>
                <w:rFonts w:ascii="Arial" w:hAnsi="Arial" w:eastAsia="Arial"/>
                <w:color w:val="1F2937"/>
                <w:sz w:val="15"/>
              </w:rPr>
              <w:t>Student</w:t>
            </w:r>
          </w:p>
        </w:tc>
        <w:tc>
          <w:tcPr>
            <w:tcW w:type="dxa" w:w="3744"/>
            <w:vAlign w:val="center"/>
            <w:shd w:fill="F8FAFC"/>
          </w:tcPr>
          <w:p>
            <w:pPr>
              <w:spacing w:before="0" w:after="20" w:line="240" w:lineRule="auto"/>
            </w:pPr>
            <w:r>
              <w:rPr>
                <w:rFonts w:ascii="Arial" w:hAnsi="Arial" w:eastAsia="Arial"/>
                <w:color w:val="1F2937"/>
                <w:sz w:val="15"/>
              </w:rPr>
              <w:t>I can identify the conditions for key probability/statistics tests and models.</w:t>
            </w:r>
          </w:p>
        </w:tc>
        <w:tc>
          <w:tcPr>
            <w:tcW w:type="dxa" w:w="2880"/>
            <w:vAlign w:val="center"/>
            <w:shd w:fill="F8FAFC"/>
          </w:tcPr>
          <w:p>
            <w:pPr>
              <w:spacing w:before="0" w:after="20" w:line="240" w:lineRule="auto"/>
            </w:pPr>
            <w:r>
              <w:rPr>
                <w:rFonts w:ascii="Arial" w:hAnsi="Arial" w:eastAsia="Arial"/>
                <w:color w:val="1F2937"/>
                <w:sz w:val="15"/>
              </w:rPr>
              <w:t>Not started</w:t>
            </w:r>
          </w:p>
        </w:tc>
        <w:tc>
          <w:tcPr>
            <w:tcW w:type="dxa" w:w="1728"/>
            <w:vAlign w:val="center"/>
            <w:shd w:fill="F8FAFC"/>
          </w:tcPr>
          <w:p>
            <w:pPr>
              <w:spacing w:before="0" w:after="20" w:line="240" w:lineRule="auto"/>
            </w:pPr>
            <w:r>
              <w:rPr>
                <w:rFonts w:ascii="Arial" w:hAnsi="Arial" w:eastAsia="Arial"/>
                <w:color w:val="1F2937"/>
                <w:sz w:val="15"/>
              </w:rPr>
            </w:r>
          </w:p>
        </w:tc>
      </w:tr>
      <w:tr>
        <w:tc>
          <w:tcPr>
            <w:tcW w:type="dxa" w:w="1584"/>
            <w:vAlign w:val="center"/>
          </w:tcPr>
          <w:p>
            <w:pPr>
              <w:spacing w:before="0" w:after="20" w:line="240" w:lineRule="auto"/>
            </w:pPr>
            <w:r>
              <w:rPr>
                <w:rFonts w:ascii="Arial" w:hAnsi="Arial" w:eastAsia="Arial"/>
                <w:color w:val="1F2937"/>
                <w:sz w:val="15"/>
              </w:rPr>
              <w:t>Student</w:t>
            </w:r>
          </w:p>
        </w:tc>
        <w:tc>
          <w:tcPr>
            <w:tcW w:type="dxa" w:w="3744"/>
            <w:vAlign w:val="center"/>
          </w:tcPr>
          <w:p>
            <w:pPr>
              <w:spacing w:before="0" w:after="20" w:line="240" w:lineRule="auto"/>
            </w:pPr>
            <w:r>
              <w:rPr>
                <w:rFonts w:ascii="Arial" w:hAnsi="Arial" w:eastAsia="Arial"/>
                <w:color w:val="1F2937"/>
                <w:sz w:val="15"/>
              </w:rPr>
              <w:t>I know my weakest three topics and have targeted practice scheduled.</w:t>
            </w:r>
          </w:p>
        </w:tc>
        <w:tc>
          <w:tcPr>
            <w:tcW w:type="dxa" w:w="2880"/>
            <w:vAlign w:val="center"/>
          </w:tcPr>
          <w:p>
            <w:pPr>
              <w:spacing w:before="0" w:after="20" w:line="240" w:lineRule="auto"/>
            </w:pPr>
            <w:r>
              <w:rPr>
                <w:rFonts w:ascii="Arial" w:hAnsi="Arial" w:eastAsia="Arial"/>
                <w:color w:val="1F2937"/>
                <w:sz w:val="15"/>
              </w:rPr>
              <w:t>Not started</w:t>
            </w:r>
          </w:p>
        </w:tc>
        <w:tc>
          <w:tcPr>
            <w:tcW w:type="dxa" w:w="1728"/>
            <w:vAlign w:val="center"/>
          </w:tcPr>
          <w:p>
            <w:pPr>
              <w:spacing w:before="0" w:after="20" w:line="240" w:lineRule="auto"/>
            </w:pPr>
            <w:r>
              <w:rPr>
                <w:rFonts w:ascii="Arial" w:hAnsi="Arial" w:eastAsia="Arial"/>
                <w:color w:val="1F2937"/>
                <w:sz w:val="15"/>
              </w:rPr>
            </w:r>
          </w:p>
        </w:tc>
      </w:tr>
      <w:tr>
        <w:tc>
          <w:tcPr>
            <w:tcW w:type="dxa" w:w="1584"/>
            <w:vAlign w:val="center"/>
            <w:shd w:fill="F8FAFC"/>
          </w:tcPr>
          <w:p>
            <w:pPr>
              <w:spacing w:before="0" w:after="20" w:line="240" w:lineRule="auto"/>
            </w:pPr>
            <w:r>
              <w:rPr>
                <w:rFonts w:ascii="Arial" w:hAnsi="Arial" w:eastAsia="Arial"/>
                <w:color w:val="1F2937"/>
                <w:sz w:val="15"/>
              </w:rPr>
              <w:t>IA</w:t>
            </w:r>
          </w:p>
        </w:tc>
        <w:tc>
          <w:tcPr>
            <w:tcW w:type="dxa" w:w="3744"/>
            <w:vAlign w:val="center"/>
            <w:shd w:fill="F8FAFC"/>
          </w:tcPr>
          <w:p>
            <w:pPr>
              <w:spacing w:before="0" w:after="20" w:line="240" w:lineRule="auto"/>
            </w:pPr>
            <w:r>
              <w:rPr>
                <w:rFonts w:ascii="Arial" w:hAnsi="Arial" w:eastAsia="Arial"/>
                <w:color w:val="1F2937"/>
                <w:sz w:val="15"/>
              </w:rPr>
              <w:t>Research question is specific, feasible, and mathematical.</w:t>
            </w:r>
          </w:p>
        </w:tc>
        <w:tc>
          <w:tcPr>
            <w:tcW w:type="dxa" w:w="2880"/>
            <w:vAlign w:val="center"/>
            <w:shd w:fill="F8FAFC"/>
          </w:tcPr>
          <w:p>
            <w:pPr>
              <w:spacing w:before="0" w:after="20" w:line="240" w:lineRule="auto"/>
            </w:pPr>
            <w:r>
              <w:rPr>
                <w:rFonts w:ascii="Arial" w:hAnsi="Arial" w:eastAsia="Arial"/>
                <w:color w:val="1F2937"/>
                <w:sz w:val="15"/>
              </w:rPr>
              <w:t>Not started</w:t>
            </w:r>
          </w:p>
        </w:tc>
        <w:tc>
          <w:tcPr>
            <w:tcW w:type="dxa" w:w="1728"/>
            <w:vAlign w:val="center"/>
            <w:shd w:fill="F8FAFC"/>
          </w:tcPr>
          <w:p>
            <w:pPr>
              <w:spacing w:before="0" w:after="20" w:line="240" w:lineRule="auto"/>
            </w:pPr>
            <w:r>
              <w:rPr>
                <w:rFonts w:ascii="Arial" w:hAnsi="Arial" w:eastAsia="Arial"/>
                <w:color w:val="1F2937"/>
                <w:sz w:val="15"/>
              </w:rPr>
            </w:r>
          </w:p>
        </w:tc>
      </w:tr>
      <w:tr>
        <w:tc>
          <w:tcPr>
            <w:tcW w:type="dxa" w:w="1584"/>
            <w:vAlign w:val="center"/>
          </w:tcPr>
          <w:p>
            <w:pPr>
              <w:spacing w:before="0" w:after="20" w:line="240" w:lineRule="auto"/>
            </w:pPr>
            <w:r>
              <w:rPr>
                <w:rFonts w:ascii="Arial" w:hAnsi="Arial" w:eastAsia="Arial"/>
                <w:color w:val="1F2937"/>
                <w:sz w:val="15"/>
              </w:rPr>
              <w:t>IA</w:t>
            </w:r>
          </w:p>
        </w:tc>
        <w:tc>
          <w:tcPr>
            <w:tcW w:type="dxa" w:w="3744"/>
            <w:vAlign w:val="center"/>
          </w:tcPr>
          <w:p>
            <w:pPr>
              <w:spacing w:before="0" w:after="20" w:line="240" w:lineRule="auto"/>
            </w:pPr>
            <w:r>
              <w:rPr>
                <w:rFonts w:ascii="Arial" w:hAnsi="Arial" w:eastAsia="Arial"/>
                <w:color w:val="1F2937"/>
                <w:sz w:val="15"/>
              </w:rPr>
              <w:t>Variables, assumptions, data source/collection method, and ethics are documented.</w:t>
            </w:r>
          </w:p>
        </w:tc>
        <w:tc>
          <w:tcPr>
            <w:tcW w:type="dxa" w:w="2880"/>
            <w:vAlign w:val="center"/>
          </w:tcPr>
          <w:p>
            <w:pPr>
              <w:spacing w:before="0" w:after="20" w:line="240" w:lineRule="auto"/>
            </w:pPr>
            <w:r>
              <w:rPr>
                <w:rFonts w:ascii="Arial" w:hAnsi="Arial" w:eastAsia="Arial"/>
                <w:color w:val="1F2937"/>
                <w:sz w:val="15"/>
              </w:rPr>
              <w:t>Not started</w:t>
            </w:r>
          </w:p>
        </w:tc>
        <w:tc>
          <w:tcPr>
            <w:tcW w:type="dxa" w:w="1728"/>
            <w:vAlign w:val="center"/>
          </w:tcPr>
          <w:p>
            <w:pPr>
              <w:spacing w:before="0" w:after="20" w:line="240" w:lineRule="auto"/>
            </w:pPr>
            <w:r>
              <w:rPr>
                <w:rFonts w:ascii="Arial" w:hAnsi="Arial" w:eastAsia="Arial"/>
                <w:color w:val="1F2937"/>
                <w:sz w:val="15"/>
              </w:rPr>
            </w:r>
          </w:p>
        </w:tc>
      </w:tr>
      <w:tr>
        <w:tc>
          <w:tcPr>
            <w:tcW w:type="dxa" w:w="1584"/>
            <w:vAlign w:val="center"/>
            <w:shd w:fill="F8FAFC"/>
          </w:tcPr>
          <w:p>
            <w:pPr>
              <w:spacing w:before="0" w:after="20" w:line="240" w:lineRule="auto"/>
            </w:pPr>
            <w:r>
              <w:rPr>
                <w:rFonts w:ascii="Arial" w:hAnsi="Arial" w:eastAsia="Arial"/>
                <w:color w:val="1F2937"/>
                <w:sz w:val="15"/>
              </w:rPr>
              <w:t>IA</w:t>
            </w:r>
          </w:p>
        </w:tc>
        <w:tc>
          <w:tcPr>
            <w:tcW w:type="dxa" w:w="3744"/>
            <w:vAlign w:val="center"/>
            <w:shd w:fill="F8FAFC"/>
          </w:tcPr>
          <w:p>
            <w:pPr>
              <w:spacing w:before="0" w:after="20" w:line="240" w:lineRule="auto"/>
            </w:pPr>
            <w:r>
              <w:rPr>
                <w:rFonts w:ascii="Arial" w:hAnsi="Arial" w:eastAsia="Arial"/>
                <w:color w:val="1F2937"/>
                <w:sz w:val="15"/>
              </w:rPr>
              <w:t>Mathematics is appropriate to course level and interpreted in context.</w:t>
            </w:r>
          </w:p>
        </w:tc>
        <w:tc>
          <w:tcPr>
            <w:tcW w:type="dxa" w:w="2880"/>
            <w:vAlign w:val="center"/>
            <w:shd w:fill="F8FAFC"/>
          </w:tcPr>
          <w:p>
            <w:pPr>
              <w:spacing w:before="0" w:after="20" w:line="240" w:lineRule="auto"/>
            </w:pPr>
            <w:r>
              <w:rPr>
                <w:rFonts w:ascii="Arial" w:hAnsi="Arial" w:eastAsia="Arial"/>
                <w:color w:val="1F2937"/>
                <w:sz w:val="15"/>
              </w:rPr>
              <w:t>Not started</w:t>
            </w:r>
          </w:p>
        </w:tc>
        <w:tc>
          <w:tcPr>
            <w:tcW w:type="dxa" w:w="1728"/>
            <w:vAlign w:val="center"/>
            <w:shd w:fill="F8FAFC"/>
          </w:tcPr>
          <w:p>
            <w:pPr>
              <w:spacing w:before="0" w:after="20" w:line="240" w:lineRule="auto"/>
            </w:pPr>
            <w:r>
              <w:rPr>
                <w:rFonts w:ascii="Arial" w:hAnsi="Arial" w:eastAsia="Arial"/>
                <w:color w:val="1F2937"/>
                <w:sz w:val="15"/>
              </w:rPr>
            </w:r>
          </w:p>
        </w:tc>
      </w:tr>
      <w:tr>
        <w:tc>
          <w:tcPr>
            <w:tcW w:type="dxa" w:w="1584"/>
            <w:vAlign w:val="center"/>
          </w:tcPr>
          <w:p>
            <w:pPr>
              <w:spacing w:before="0" w:after="20" w:line="240" w:lineRule="auto"/>
            </w:pPr>
            <w:r>
              <w:rPr>
                <w:rFonts w:ascii="Arial" w:hAnsi="Arial" w:eastAsia="Arial"/>
                <w:color w:val="1F2937"/>
                <w:sz w:val="15"/>
              </w:rPr>
              <w:t>IA</w:t>
            </w:r>
          </w:p>
        </w:tc>
        <w:tc>
          <w:tcPr>
            <w:tcW w:type="dxa" w:w="3744"/>
            <w:vAlign w:val="center"/>
          </w:tcPr>
          <w:p>
            <w:pPr>
              <w:spacing w:before="0" w:after="20" w:line="240" w:lineRule="auto"/>
            </w:pPr>
            <w:r>
              <w:rPr>
                <w:rFonts w:ascii="Arial" w:hAnsi="Arial" w:eastAsia="Arial"/>
                <w:color w:val="1F2937"/>
                <w:sz w:val="15"/>
              </w:rPr>
              <w:t>Reflection evaluates limitations and suggests refinements.</w:t>
            </w:r>
          </w:p>
        </w:tc>
        <w:tc>
          <w:tcPr>
            <w:tcW w:type="dxa" w:w="2880"/>
            <w:vAlign w:val="center"/>
          </w:tcPr>
          <w:p>
            <w:pPr>
              <w:spacing w:before="0" w:after="20" w:line="240" w:lineRule="auto"/>
            </w:pPr>
            <w:r>
              <w:rPr>
                <w:rFonts w:ascii="Arial" w:hAnsi="Arial" w:eastAsia="Arial"/>
                <w:color w:val="1F2937"/>
                <w:sz w:val="15"/>
              </w:rPr>
              <w:t>Not started</w:t>
            </w:r>
          </w:p>
        </w:tc>
        <w:tc>
          <w:tcPr>
            <w:tcW w:type="dxa" w:w="1728"/>
            <w:vAlign w:val="center"/>
          </w:tcPr>
          <w:p>
            <w:pPr>
              <w:spacing w:before="0" w:after="20" w:line="240" w:lineRule="auto"/>
            </w:pPr>
            <w:r>
              <w:rPr>
                <w:rFonts w:ascii="Arial" w:hAnsi="Arial" w:eastAsia="Arial"/>
                <w:color w:val="1F2937"/>
                <w:sz w:val="15"/>
              </w:rPr>
            </w:r>
          </w:p>
        </w:tc>
      </w:tr>
      <w:tr>
        <w:tc>
          <w:tcPr>
            <w:tcW w:type="dxa" w:w="1584"/>
            <w:vAlign w:val="center"/>
            <w:shd w:fill="F8FAFC"/>
          </w:tcPr>
          <w:p>
            <w:pPr>
              <w:spacing w:before="0" w:after="20" w:line="240" w:lineRule="auto"/>
            </w:pPr>
            <w:r>
              <w:rPr>
                <w:rFonts w:ascii="Arial" w:hAnsi="Arial" w:eastAsia="Arial"/>
                <w:color w:val="1F2937"/>
                <w:sz w:val="15"/>
              </w:rPr>
              <w:t>Final exam</w:t>
            </w:r>
          </w:p>
        </w:tc>
        <w:tc>
          <w:tcPr>
            <w:tcW w:type="dxa" w:w="3744"/>
            <w:vAlign w:val="center"/>
            <w:shd w:fill="F8FAFC"/>
          </w:tcPr>
          <w:p>
            <w:pPr>
              <w:spacing w:before="0" w:after="20" w:line="240" w:lineRule="auto"/>
            </w:pPr>
            <w:r>
              <w:rPr>
                <w:rFonts w:ascii="Arial" w:hAnsi="Arial" w:eastAsia="Arial"/>
                <w:color w:val="1F2937"/>
                <w:sz w:val="15"/>
              </w:rPr>
              <w:t>Formula booklet and theorem bank have been annotated and practiced.</w:t>
            </w:r>
          </w:p>
        </w:tc>
        <w:tc>
          <w:tcPr>
            <w:tcW w:type="dxa" w:w="2880"/>
            <w:vAlign w:val="center"/>
            <w:shd w:fill="F8FAFC"/>
          </w:tcPr>
          <w:p>
            <w:pPr>
              <w:spacing w:before="0" w:after="20" w:line="240" w:lineRule="auto"/>
            </w:pPr>
            <w:r>
              <w:rPr>
                <w:rFonts w:ascii="Arial" w:hAnsi="Arial" w:eastAsia="Arial"/>
                <w:color w:val="1F2937"/>
                <w:sz w:val="15"/>
              </w:rPr>
              <w:t>Not started</w:t>
            </w:r>
          </w:p>
        </w:tc>
        <w:tc>
          <w:tcPr>
            <w:tcW w:type="dxa" w:w="1728"/>
            <w:vAlign w:val="center"/>
            <w:shd w:fill="F8FAFC"/>
          </w:tcPr>
          <w:p>
            <w:pPr>
              <w:spacing w:before="0" w:after="20" w:line="240" w:lineRule="auto"/>
            </w:pPr>
            <w:r>
              <w:rPr>
                <w:rFonts w:ascii="Arial" w:hAnsi="Arial" w:eastAsia="Arial"/>
                <w:color w:val="1F2937"/>
                <w:sz w:val="15"/>
              </w:rPr>
            </w:r>
          </w:p>
        </w:tc>
      </w:tr>
      <w:tr>
        <w:tc>
          <w:tcPr>
            <w:tcW w:type="dxa" w:w="1584"/>
            <w:vAlign w:val="center"/>
          </w:tcPr>
          <w:p>
            <w:pPr>
              <w:spacing w:before="0" w:after="20" w:line="240" w:lineRule="auto"/>
            </w:pPr>
            <w:r>
              <w:rPr>
                <w:rFonts w:ascii="Arial" w:hAnsi="Arial" w:eastAsia="Arial"/>
                <w:color w:val="1F2937"/>
                <w:sz w:val="15"/>
              </w:rPr>
              <w:t>Final exam</w:t>
            </w:r>
          </w:p>
        </w:tc>
        <w:tc>
          <w:tcPr>
            <w:tcW w:type="dxa" w:w="3744"/>
            <w:vAlign w:val="center"/>
          </w:tcPr>
          <w:p>
            <w:pPr>
              <w:spacing w:before="0" w:after="20" w:line="240" w:lineRule="auto"/>
            </w:pPr>
            <w:r>
              <w:rPr>
                <w:rFonts w:ascii="Arial" w:hAnsi="Arial" w:eastAsia="Arial"/>
                <w:color w:val="1F2937"/>
                <w:sz w:val="15"/>
              </w:rPr>
              <w:t>All papers have been attempted under timed conditions.</w:t>
            </w:r>
          </w:p>
        </w:tc>
        <w:tc>
          <w:tcPr>
            <w:tcW w:type="dxa" w:w="2880"/>
            <w:vAlign w:val="center"/>
          </w:tcPr>
          <w:p>
            <w:pPr>
              <w:spacing w:before="0" w:after="20" w:line="240" w:lineRule="auto"/>
            </w:pPr>
            <w:r>
              <w:rPr>
                <w:rFonts w:ascii="Arial" w:hAnsi="Arial" w:eastAsia="Arial"/>
                <w:color w:val="1F2937"/>
                <w:sz w:val="15"/>
              </w:rPr>
              <w:t>Not started</w:t>
            </w:r>
          </w:p>
        </w:tc>
        <w:tc>
          <w:tcPr>
            <w:tcW w:type="dxa" w:w="1728"/>
            <w:vAlign w:val="center"/>
          </w:tcPr>
          <w:p>
            <w:pPr>
              <w:spacing w:before="0" w:after="20" w:line="240" w:lineRule="auto"/>
            </w:pPr>
            <w:r>
              <w:rPr>
                <w:rFonts w:ascii="Arial" w:hAnsi="Arial" w:eastAsia="Arial"/>
                <w:color w:val="1F2937"/>
                <w:sz w:val="15"/>
              </w:rPr>
            </w:r>
          </w:p>
        </w:tc>
      </w:tr>
      <w:tr>
        <w:tc>
          <w:tcPr>
            <w:tcW w:type="dxa" w:w="1584"/>
            <w:vAlign w:val="center"/>
            <w:shd w:fill="F8FAFC"/>
          </w:tcPr>
          <w:p>
            <w:pPr>
              <w:spacing w:before="0" w:after="20" w:line="240" w:lineRule="auto"/>
            </w:pPr>
            <w:r>
              <w:rPr>
                <w:rFonts w:ascii="Arial" w:hAnsi="Arial" w:eastAsia="Arial"/>
                <w:color w:val="1F2937"/>
                <w:sz w:val="15"/>
              </w:rPr>
              <w:t>Final exam</w:t>
            </w:r>
          </w:p>
        </w:tc>
        <w:tc>
          <w:tcPr>
            <w:tcW w:type="dxa" w:w="3744"/>
            <w:vAlign w:val="center"/>
            <w:shd w:fill="F8FAFC"/>
          </w:tcPr>
          <w:p>
            <w:pPr>
              <w:spacing w:before="0" w:after="20" w:line="240" w:lineRule="auto"/>
            </w:pPr>
            <w:r>
              <w:rPr>
                <w:rFonts w:ascii="Arial" w:hAnsi="Arial" w:eastAsia="Arial"/>
                <w:color w:val="1F2937"/>
                <w:sz w:val="15"/>
              </w:rPr>
              <w:t>Calculator batteries/settings/documents comply with school/IB procedures.</w:t>
            </w:r>
          </w:p>
        </w:tc>
        <w:tc>
          <w:tcPr>
            <w:tcW w:type="dxa" w:w="2880"/>
            <w:vAlign w:val="center"/>
            <w:shd w:fill="F8FAFC"/>
          </w:tcPr>
          <w:p>
            <w:pPr>
              <w:spacing w:before="0" w:after="20" w:line="240" w:lineRule="auto"/>
            </w:pPr>
            <w:r>
              <w:rPr>
                <w:rFonts w:ascii="Arial" w:hAnsi="Arial" w:eastAsia="Arial"/>
                <w:color w:val="1F2937"/>
                <w:sz w:val="15"/>
              </w:rPr>
              <w:t>Not started</w:t>
            </w:r>
          </w:p>
        </w:tc>
        <w:tc>
          <w:tcPr>
            <w:tcW w:type="dxa" w:w="1728"/>
            <w:vAlign w:val="center"/>
            <w:shd w:fill="F8FAFC"/>
          </w:tcPr>
          <w:p>
            <w:pPr>
              <w:spacing w:before="0" w:after="20" w:line="240" w:lineRule="auto"/>
            </w:pPr>
            <w:r>
              <w:rPr>
                <w:rFonts w:ascii="Arial" w:hAnsi="Arial" w:eastAsia="Arial"/>
                <w:color w:val="1F2937"/>
                <w:sz w:val="15"/>
              </w:rPr>
            </w:r>
          </w:p>
        </w:tc>
      </w:tr>
    </w:tbl>
    <w:p/>
    <w:p>
      <w:r>
        <w:br w:type="page"/>
      </w:r>
    </w:p>
    <w:p>
      <w:pPr>
        <w:pStyle w:val="Heading1"/>
        <w:spacing w:before="120" w:after="120" w:line="240" w:lineRule="auto"/>
      </w:pPr>
      <w:r>
        <w:t>10. Sources and verification notes</w:t>
      </w:r>
    </w:p>
    <w:p>
      <w:pPr>
        <w:spacing w:before="0" w:after="80" w:line="240" w:lineRule="auto"/>
      </w:pPr>
      <w:r>
        <w:t>The workbook and documents use public IB sources for course orientation and planning, plus original practice structures and teacher-facing templates. Schools should verify exam-session details, grade boundaries, and official formulae through the IB Programme Resource Centre.</w:t>
      </w:r>
    </w:p>
    <w:tbl>
      <w:tblPr>
        <w:tblStyle w:val="TableGrid"/>
        <w:tblW w:type="auto" w:w="0"/>
        <w:jc w:val="center"/>
        <w:tblLook w:firstColumn="1" w:firstRow="1" w:lastColumn="0" w:lastRow="0" w:noHBand="0" w:noVBand="1" w:val="04A0"/>
      </w:tblPr>
      <w:tblGrid>
        <w:gridCol w:w="2628"/>
        <w:gridCol w:w="2628"/>
        <w:gridCol w:w="2628"/>
        <w:gridCol w:w="2628"/>
      </w:tblGrid>
      <w:tr>
        <w:trPr>
          <w:tblHeader w:val="true"/>
        </w:trPr>
        <w:tc>
          <w:tcPr>
            <w:tcW w:type="dxa" w:w="576"/>
            <w:shd w:fill="0B3954"/>
            <w:vAlign w:val="center"/>
          </w:tcPr>
          <w:p>
            <w:pPr>
              <w:spacing w:before="0" w:after="20" w:line="240" w:lineRule="auto"/>
            </w:pPr>
            <w:r>
              <w:rPr>
                <w:b/>
                <w:color w:val="FFFFFF"/>
                <w:sz w:val="15"/>
              </w:rPr>
              <w:t>ID</w:t>
            </w:r>
          </w:p>
        </w:tc>
        <w:tc>
          <w:tcPr>
            <w:tcW w:type="dxa" w:w="2304"/>
            <w:shd w:fill="0B3954"/>
            <w:vAlign w:val="center"/>
          </w:tcPr>
          <w:p>
            <w:pPr>
              <w:spacing w:before="0" w:after="20" w:line="240" w:lineRule="auto"/>
            </w:pPr>
            <w:r>
              <w:rPr>
                <w:b/>
                <w:color w:val="FFFFFF"/>
                <w:sz w:val="15"/>
              </w:rPr>
              <w:t>Source</w:t>
            </w:r>
          </w:p>
        </w:tc>
        <w:tc>
          <w:tcPr>
            <w:tcW w:type="dxa" w:w="3312"/>
            <w:shd w:fill="0B3954"/>
            <w:vAlign w:val="center"/>
          </w:tcPr>
          <w:p>
            <w:pPr>
              <w:spacing w:before="0" w:after="20" w:line="240" w:lineRule="auto"/>
            </w:pPr>
            <w:r>
              <w:rPr>
                <w:b/>
                <w:color w:val="FFFFFF"/>
                <w:sz w:val="15"/>
              </w:rPr>
              <w:t>Use in this packet</w:t>
            </w:r>
          </w:p>
        </w:tc>
        <w:tc>
          <w:tcPr>
            <w:tcW w:type="dxa" w:w="3600"/>
            <w:shd w:fill="0B3954"/>
            <w:vAlign w:val="center"/>
          </w:tcPr>
          <w:p>
            <w:pPr>
              <w:spacing w:before="0" w:after="20" w:line="240" w:lineRule="auto"/>
            </w:pPr>
            <w:r>
              <w:rPr>
                <w:b/>
                <w:color w:val="FFFFFF"/>
                <w:sz w:val="15"/>
              </w:rPr>
              <w:t>URL</w:t>
            </w:r>
          </w:p>
        </w:tc>
      </w:tr>
      <w:tr>
        <w:tc>
          <w:tcPr>
            <w:tcW w:type="dxa" w:w="576"/>
            <w:vAlign w:val="center"/>
          </w:tcPr>
          <w:p>
            <w:pPr>
              <w:spacing w:before="0" w:after="20" w:line="240" w:lineRule="auto"/>
            </w:pPr>
            <w:r>
              <w:rPr>
                <w:rFonts w:ascii="Arial" w:hAnsi="Arial" w:eastAsia="Arial"/>
                <w:color w:val="1F2937"/>
                <w:sz w:val="15"/>
              </w:rPr>
              <w:t>S1</w:t>
            </w:r>
          </w:p>
        </w:tc>
        <w:tc>
          <w:tcPr>
            <w:tcW w:type="dxa" w:w="2304"/>
            <w:vAlign w:val="center"/>
          </w:tcPr>
          <w:p>
            <w:pPr>
              <w:spacing w:before="0" w:after="20" w:line="240" w:lineRule="auto"/>
            </w:pPr>
            <w:r>
              <w:rPr>
                <w:rFonts w:ascii="Arial" w:hAnsi="Arial" w:eastAsia="Arial"/>
                <w:color w:val="1F2937"/>
                <w:sz w:val="15"/>
              </w:rPr>
              <w:t>International Baccalaureate - Maths in the DP</w:t>
            </w:r>
          </w:p>
        </w:tc>
        <w:tc>
          <w:tcPr>
            <w:tcW w:type="dxa" w:w="3312"/>
            <w:vAlign w:val="center"/>
          </w:tcPr>
          <w:p>
            <w:pPr>
              <w:spacing w:before="0" w:after="20" w:line="240" w:lineRule="auto"/>
            </w:pPr>
            <w:r>
              <w:rPr>
                <w:rFonts w:ascii="Arial" w:hAnsi="Arial" w:eastAsia="Arial"/>
                <w:color w:val="1F2937"/>
                <w:sz w:val="15"/>
              </w:rPr>
              <w:t>Official overview of available DP mathematics courses, technology expectations, and subject brief links.</w:t>
            </w:r>
          </w:p>
        </w:tc>
        <w:tc>
          <w:tcPr>
            <w:tcW w:type="dxa" w:w="3600"/>
            <w:vAlign w:val="center"/>
          </w:tcPr>
          <w:p>
            <w:pPr>
              <w:spacing w:before="0" w:after="20" w:line="240" w:lineRule="auto"/>
            </w:pPr>
            <w:r>
              <w:rPr>
                <w:rFonts w:ascii="Arial" w:hAnsi="Arial" w:eastAsia="Arial"/>
                <w:color w:val="1F2937"/>
                <w:sz w:val="15"/>
              </w:rPr>
              <w:t>https://ibo.org/programmes/diploma-programme/curriculum/mathematics/</w:t>
            </w:r>
          </w:p>
        </w:tc>
      </w:tr>
      <w:tr>
        <w:tc>
          <w:tcPr>
            <w:tcW w:type="dxa" w:w="576"/>
            <w:vAlign w:val="center"/>
            <w:shd w:fill="F8FAFC"/>
          </w:tcPr>
          <w:p>
            <w:pPr>
              <w:spacing w:before="0" w:after="20" w:line="240" w:lineRule="auto"/>
            </w:pPr>
            <w:r>
              <w:rPr>
                <w:rFonts w:ascii="Arial" w:hAnsi="Arial" w:eastAsia="Arial"/>
                <w:color w:val="1F2937"/>
                <w:sz w:val="15"/>
              </w:rPr>
              <w:t>S2</w:t>
            </w:r>
          </w:p>
        </w:tc>
        <w:tc>
          <w:tcPr>
            <w:tcW w:type="dxa" w:w="2304"/>
            <w:vAlign w:val="center"/>
            <w:shd w:fill="F8FAFC"/>
          </w:tcPr>
          <w:p>
            <w:pPr>
              <w:spacing w:before="0" w:after="20" w:line="240" w:lineRule="auto"/>
            </w:pPr>
            <w:r>
              <w:rPr>
                <w:rFonts w:ascii="Arial" w:hAnsi="Arial" w:eastAsia="Arial"/>
                <w:color w:val="1F2937"/>
                <w:sz w:val="15"/>
              </w:rPr>
              <w:t>IB Mathematics: Applications and Interpretation Subject Brief 2021</w:t>
            </w:r>
          </w:p>
        </w:tc>
        <w:tc>
          <w:tcPr>
            <w:tcW w:type="dxa" w:w="3312"/>
            <w:vAlign w:val="center"/>
            <w:shd w:fill="F8FAFC"/>
          </w:tcPr>
          <w:p>
            <w:pPr>
              <w:spacing w:before="0" w:after="20" w:line="240" w:lineRule="auto"/>
            </w:pPr>
            <w:r>
              <w:rPr>
                <w:rFonts w:ascii="Arial" w:hAnsi="Arial" w:eastAsia="Arial"/>
                <w:color w:val="1F2937"/>
                <w:sz w:val="15"/>
              </w:rPr>
              <w:t>Public subject brief for the current AI SL/HL course first assessed in 2021.</w:t>
            </w:r>
          </w:p>
        </w:tc>
        <w:tc>
          <w:tcPr>
            <w:tcW w:type="dxa" w:w="3600"/>
            <w:vAlign w:val="center"/>
            <w:shd w:fill="F8FAFC"/>
          </w:tcPr>
          <w:p>
            <w:pPr>
              <w:spacing w:before="0" w:after="20" w:line="240" w:lineRule="auto"/>
            </w:pPr>
            <w:r>
              <w:rPr>
                <w:rFonts w:ascii="Arial" w:hAnsi="Arial" w:eastAsia="Arial"/>
                <w:color w:val="1F2937"/>
                <w:sz w:val="15"/>
              </w:rPr>
              <w:t>https://ibo.org/contentassets/5895a05412144fe890312bad52b17044/subject-brief-dp-math-applications-and-interpretations-en.pdf</w:t>
            </w:r>
          </w:p>
        </w:tc>
      </w:tr>
      <w:tr>
        <w:tc>
          <w:tcPr>
            <w:tcW w:type="dxa" w:w="576"/>
            <w:vAlign w:val="center"/>
          </w:tcPr>
          <w:p>
            <w:pPr>
              <w:spacing w:before="0" w:after="20" w:line="240" w:lineRule="auto"/>
            </w:pPr>
            <w:r>
              <w:rPr>
                <w:rFonts w:ascii="Arial" w:hAnsi="Arial" w:eastAsia="Arial"/>
                <w:color w:val="1F2937"/>
                <w:sz w:val="15"/>
              </w:rPr>
              <w:t>S3</w:t>
            </w:r>
          </w:p>
        </w:tc>
        <w:tc>
          <w:tcPr>
            <w:tcW w:type="dxa" w:w="2304"/>
            <w:vAlign w:val="center"/>
          </w:tcPr>
          <w:p>
            <w:pPr>
              <w:spacing w:before="0" w:after="20" w:line="240" w:lineRule="auto"/>
            </w:pPr>
            <w:r>
              <w:rPr>
                <w:rFonts w:ascii="Arial" w:hAnsi="Arial" w:eastAsia="Arial"/>
                <w:color w:val="1F2937"/>
                <w:sz w:val="15"/>
              </w:rPr>
              <w:t>IB Mathematics: Applications and Interpretation Subject Brief 2029</w:t>
            </w:r>
          </w:p>
        </w:tc>
        <w:tc>
          <w:tcPr>
            <w:tcW w:type="dxa" w:w="3312"/>
            <w:vAlign w:val="center"/>
          </w:tcPr>
          <w:p>
            <w:pPr>
              <w:spacing w:before="0" w:after="20" w:line="240" w:lineRule="auto"/>
            </w:pPr>
            <w:r>
              <w:rPr>
                <w:rFonts w:ascii="Arial" w:hAnsi="Arial" w:eastAsia="Arial"/>
                <w:color w:val="1F2937"/>
                <w:sz w:val="15"/>
              </w:rPr>
              <w:t>Public subject brief for the revised AI SL/HL course first assessed in 2029.</w:t>
            </w:r>
          </w:p>
        </w:tc>
        <w:tc>
          <w:tcPr>
            <w:tcW w:type="dxa" w:w="3600"/>
            <w:vAlign w:val="center"/>
          </w:tcPr>
          <w:p>
            <w:pPr>
              <w:spacing w:before="0" w:after="20" w:line="240" w:lineRule="auto"/>
            </w:pPr>
            <w:r>
              <w:rPr>
                <w:rFonts w:ascii="Arial" w:hAnsi="Arial" w:eastAsia="Arial"/>
                <w:color w:val="1F2937"/>
                <w:sz w:val="15"/>
              </w:rPr>
              <w:t>https://ibo.org/globalassets/new-structure/programmes/dp/pdfs/sb_maths_application_en.pdf</w:t>
            </w:r>
          </w:p>
        </w:tc>
      </w:tr>
      <w:tr>
        <w:tc>
          <w:tcPr>
            <w:tcW w:type="dxa" w:w="576"/>
            <w:vAlign w:val="center"/>
            <w:shd w:fill="F8FAFC"/>
          </w:tcPr>
          <w:p>
            <w:pPr>
              <w:spacing w:before="0" w:after="20" w:line="240" w:lineRule="auto"/>
            </w:pPr>
            <w:r>
              <w:rPr>
                <w:rFonts w:ascii="Arial" w:hAnsi="Arial" w:eastAsia="Arial"/>
                <w:color w:val="1F2937"/>
                <w:sz w:val="15"/>
              </w:rPr>
              <w:t>S4</w:t>
            </w:r>
          </w:p>
        </w:tc>
        <w:tc>
          <w:tcPr>
            <w:tcW w:type="dxa" w:w="2304"/>
            <w:vAlign w:val="center"/>
            <w:shd w:fill="F8FAFC"/>
          </w:tcPr>
          <w:p>
            <w:pPr>
              <w:spacing w:before="0" w:after="20" w:line="240" w:lineRule="auto"/>
            </w:pPr>
            <w:r>
              <w:rPr>
                <w:rFonts w:ascii="Arial" w:hAnsi="Arial" w:eastAsia="Arial"/>
                <w:color w:val="1F2937"/>
                <w:sz w:val="15"/>
              </w:rPr>
              <w:t>Mathematics: Applications and Interpretation Guide 2019 public copy</w:t>
            </w:r>
          </w:p>
        </w:tc>
        <w:tc>
          <w:tcPr>
            <w:tcW w:type="dxa" w:w="3312"/>
            <w:vAlign w:val="center"/>
            <w:shd w:fill="F8FAFC"/>
          </w:tcPr>
          <w:p>
            <w:pPr>
              <w:spacing w:before="0" w:after="20" w:line="240" w:lineRule="auto"/>
            </w:pPr>
            <w:r>
              <w:rPr>
                <w:rFonts w:ascii="Arial" w:hAnsi="Arial" w:eastAsia="Arial"/>
                <w:color w:val="1F2937"/>
                <w:sz w:val="15"/>
              </w:rPr>
              <w:t>Detailed 2021-course syllabus and planning guidance; official guide should be checked on the IB Programme Resource Centre.</w:t>
            </w:r>
          </w:p>
        </w:tc>
        <w:tc>
          <w:tcPr>
            <w:tcW w:type="dxa" w:w="3600"/>
            <w:vAlign w:val="center"/>
            <w:shd w:fill="F8FAFC"/>
          </w:tcPr>
          <w:p>
            <w:pPr>
              <w:spacing w:before="0" w:after="20" w:line="240" w:lineRule="auto"/>
            </w:pPr>
            <w:r>
              <w:rPr>
                <w:rFonts w:ascii="Arial" w:hAnsi="Arial" w:eastAsia="Arial"/>
                <w:color w:val="1F2937"/>
                <w:sz w:val="15"/>
              </w:rPr>
              <w:t>https://www.woodstockschool.in/wp-content/uploads/2019/10/Mathematics-applications-and-interpretation-guide.pdf</w:t>
            </w:r>
          </w:p>
        </w:tc>
      </w:tr>
      <w:tr>
        <w:tc>
          <w:tcPr>
            <w:tcW w:type="dxa" w:w="576"/>
            <w:vAlign w:val="center"/>
          </w:tcPr>
          <w:p>
            <w:pPr>
              <w:spacing w:before="0" w:after="20" w:line="240" w:lineRule="auto"/>
            </w:pPr>
            <w:r>
              <w:rPr>
                <w:rFonts w:ascii="Arial" w:hAnsi="Arial" w:eastAsia="Arial"/>
                <w:color w:val="1F2937"/>
                <w:sz w:val="15"/>
              </w:rPr>
              <w:t>S5</w:t>
            </w:r>
          </w:p>
        </w:tc>
        <w:tc>
          <w:tcPr>
            <w:tcW w:type="dxa" w:w="2304"/>
            <w:vAlign w:val="center"/>
          </w:tcPr>
          <w:p>
            <w:pPr>
              <w:spacing w:before="0" w:after="20" w:line="240" w:lineRule="auto"/>
            </w:pPr>
            <w:r>
              <w:rPr>
                <w:rFonts w:ascii="Arial" w:hAnsi="Arial" w:eastAsia="Arial"/>
                <w:color w:val="1F2937"/>
                <w:sz w:val="15"/>
              </w:rPr>
              <w:t>IB Programme Resource Centre</w:t>
            </w:r>
          </w:p>
        </w:tc>
        <w:tc>
          <w:tcPr>
            <w:tcW w:type="dxa" w:w="3312"/>
            <w:vAlign w:val="center"/>
          </w:tcPr>
          <w:p>
            <w:pPr>
              <w:spacing w:before="0" w:after="20" w:line="240" w:lineRule="auto"/>
            </w:pPr>
            <w:r>
              <w:rPr>
                <w:rFonts w:ascii="Arial" w:hAnsi="Arial" w:eastAsia="Arial"/>
                <w:color w:val="1F2937"/>
                <w:sz w:val="15"/>
              </w:rPr>
              <w:t>Official source for current subject guides, teacher support materials, subject reports, grade descriptors, and updates.</w:t>
            </w:r>
          </w:p>
        </w:tc>
        <w:tc>
          <w:tcPr>
            <w:tcW w:type="dxa" w:w="3600"/>
            <w:vAlign w:val="center"/>
          </w:tcPr>
          <w:p>
            <w:pPr>
              <w:spacing w:before="0" w:after="20" w:line="240" w:lineRule="auto"/>
            </w:pPr>
            <w:r>
              <w:rPr>
                <w:rFonts w:ascii="Arial" w:hAnsi="Arial" w:eastAsia="Arial"/>
                <w:color w:val="1F2937"/>
                <w:sz w:val="15"/>
              </w:rPr>
              <w:t>https://resources.ibo.org/</w:t>
            </w:r>
          </w:p>
        </w:tc>
      </w:tr>
      <w:tr>
        <w:tc>
          <w:tcPr>
            <w:tcW w:type="dxa" w:w="576"/>
            <w:vAlign w:val="center"/>
            <w:shd w:fill="F8FAFC"/>
          </w:tcPr>
          <w:p>
            <w:pPr>
              <w:spacing w:before="0" w:after="20" w:line="240" w:lineRule="auto"/>
            </w:pPr>
            <w:r>
              <w:rPr>
                <w:rFonts w:ascii="Arial" w:hAnsi="Arial" w:eastAsia="Arial"/>
                <w:color w:val="1F2937"/>
                <w:sz w:val="15"/>
              </w:rPr>
              <w:t>S6</w:t>
            </w:r>
          </w:p>
        </w:tc>
        <w:tc>
          <w:tcPr>
            <w:tcW w:type="dxa" w:w="2304"/>
            <w:vAlign w:val="center"/>
            <w:shd w:fill="F8FAFC"/>
          </w:tcPr>
          <w:p>
            <w:pPr>
              <w:spacing w:before="0" w:after="20" w:line="240" w:lineRule="auto"/>
            </w:pPr>
            <w:r>
              <w:rPr>
                <w:rFonts w:ascii="Arial" w:hAnsi="Arial" w:eastAsia="Arial"/>
                <w:color w:val="1F2937"/>
                <w:sz w:val="15"/>
              </w:rPr>
              <w:t>IB Store / official publications</w:t>
            </w:r>
          </w:p>
        </w:tc>
        <w:tc>
          <w:tcPr>
            <w:tcW w:type="dxa" w:w="3312"/>
            <w:vAlign w:val="center"/>
            <w:shd w:fill="F8FAFC"/>
          </w:tcPr>
          <w:p>
            <w:pPr>
              <w:spacing w:before="0" w:after="20" w:line="240" w:lineRule="auto"/>
            </w:pPr>
            <w:r>
              <w:rPr>
                <w:rFonts w:ascii="Arial" w:hAnsi="Arial" w:eastAsia="Arial"/>
                <w:color w:val="1F2937"/>
                <w:sz w:val="15"/>
              </w:rPr>
              <w:t>Official source for purchased guides, exam papers, and markschemes where available.</w:t>
            </w:r>
          </w:p>
        </w:tc>
        <w:tc>
          <w:tcPr>
            <w:tcW w:type="dxa" w:w="3600"/>
            <w:vAlign w:val="center"/>
            <w:shd w:fill="F8FAFC"/>
          </w:tcPr>
          <w:p>
            <w:pPr>
              <w:spacing w:before="0" w:after="20" w:line="240" w:lineRule="auto"/>
            </w:pPr>
            <w:r>
              <w:rPr>
                <w:rFonts w:ascii="Arial" w:hAnsi="Arial" w:eastAsia="Arial"/>
                <w:color w:val="1F2937"/>
                <w:sz w:val="15"/>
              </w:rPr>
              <w:t>https://ibo.org/new-store</w:t>
            </w:r>
          </w:p>
        </w:tc>
      </w:tr>
    </w:tbl>
    <w:p/>
    <w:sectPr w:rsidR="00FC693F" w:rsidRPr="0006063C" w:rsidSect="00034616">
      <w:headerReference w:type="default" r:id="rId9"/>
      <w:footerReference w:type="default" r:id="rId10"/>
      <w:pgSz w:w="12240" w:h="15840"/>
      <w:pgMar w:top="936" w:right="864" w:bottom="936"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A646E"/>
        <w:sz w:val="16"/>
      </w:rPr>
      <w:t>Study Guide | original teacher/student support resource</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Pr>
    <w:r>
      <w:rPr>
        <w:color w:val="5A646E"/>
        <w:sz w:val="16"/>
      </w:rPr>
      <w:t>IB Mathematics: Applications and Interpretation SL/HL Packet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eastAsia="Arial"/>
      <w:color w:val="1F2937"/>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eastAsia="Arial"/>
      <w:b/>
      <w:bCs/>
      <w:color w:val="0B3954"/>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eastAsia="Arial"/>
      <w:b/>
      <w:bCs/>
      <w:color w:val="0E9AA7"/>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eastAsia="Arial"/>
      <w:b/>
      <w:bCs/>
      <w:color w:val="1F2937"/>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rial" w:hAnsi="Arial" w:eastAsia="Arial"/>
      <w:b/>
      <w:color w:val="0B3954"/>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