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240" w:line="240" w:lineRule="auto"/>
        <w:jc w:val="center"/>
      </w:pPr>
      <w:r>
        <w:rPr>
          <w:b/>
          <w:color w:val="0B3954"/>
          <w:sz w:val="54"/>
        </w:rPr>
        <w:t>IB Mathematics: Applications and Interpretation SL/HL</w:t>
      </w:r>
    </w:p>
    <w:p>
      <w:pPr>
        <w:spacing w:before="0" w:after="360" w:line="240" w:lineRule="auto"/>
        <w:jc w:val="center"/>
      </w:pPr>
      <w:r>
        <w:rPr>
          <w:color w:val="0E9AA7"/>
          <w:sz w:val="28"/>
        </w:rPr>
        <w:t>Formulae, Theorems, and Important Topics Booklet</w:t>
      </w:r>
    </w:p>
    <w:tbl>
      <w:tblPr>
        <w:tblW w:type="auto" w:w="0"/>
        <w:jc w:val="center"/>
        <w:tblLook w:firstColumn="1" w:firstRow="1" w:lastColumn="0" w:lastRow="0" w:noHBand="0" w:noVBand="1" w:val="04A0"/>
      </w:tblPr>
      <w:tblGrid>
        <w:gridCol w:w="10512"/>
      </w:tblGrid>
      <w:tr>
        <w:tc>
          <w:tcPr>
            <w:tcW w:type="dxa" w:w="10512"/>
            <w:shd w:fill="E6F4F7"/>
            <w:tcBorders>
              <w:top w:sz="8" w:val="single" w:color="A7DCE3"/>
              <w:left w:sz="8" w:val="single" w:color="A7DCE3"/>
              <w:bottom w:sz="8" w:val="single" w:color="A7DCE3"/>
              <w:right w:sz="8" w:val="single" w:color="A7DCE3"/>
            </w:tcBorders>
          </w:tcPr>
          <w:p>
            <w:pPr>
              <w:spacing w:before="100" w:after="100" w:line="240" w:lineRule="auto"/>
            </w:pPr>
            <w:r>
              <w:rPr>
                <w:color w:val="1F2937"/>
                <w:sz w:val="20"/>
              </w:rPr>
              <w:t>This booklet is an original classroom reference designed to support the official IB formula booklet. It does not reproduce official exam materials. Students should use the official IB formula booklet and guide for final exam rules.</w:t>
            </w:r>
          </w:p>
        </w:tc>
      </w:tr>
    </w:tbl>
    <w:p/>
    <w:p>
      <w:pPr>
        <w:pStyle w:val="ListBullet"/>
        <w:spacing w:before="0" w:after="60" w:line="240" w:lineRule="auto"/>
      </w:pPr>
      <w:r>
        <w:t>Built for both teacher planning and student self-study.</w:t>
      </w:r>
    </w:p>
    <w:p>
      <w:pPr>
        <w:pStyle w:val="ListBullet"/>
        <w:spacing w:before="0" w:after="60" w:line="240" w:lineRule="auto"/>
      </w:pPr>
      <w:r>
        <w:t>Supports the current AI course structure and includes a transition map for the public 2029 subject brief.</w:t>
      </w:r>
    </w:p>
    <w:p>
      <w:pPr>
        <w:pStyle w:val="ListBullet"/>
        <w:spacing w:before="0" w:after="60" w:line="240" w:lineRule="auto"/>
      </w:pPr>
      <w:r>
        <w:t>Use alongside the official IB guide, formula booklet, markschemes, and school-specific deadlines.</w:t>
      </w:r>
    </w:p>
    <w:p>
      <w:r>
        <w:br w:type="page"/>
      </w:r>
    </w:p>
    <w:p>
      <w:pPr>
        <w:pStyle w:val="Heading1"/>
        <w:spacing w:before="120" w:after="120" w:line="240" w:lineRule="auto"/>
      </w:pPr>
      <w:r>
        <w:t>1. How to use this booklet</w:t>
      </w:r>
    </w:p>
    <w:p>
      <w:pPr>
        <w:pStyle w:val="ListBullet"/>
        <w:spacing w:before="0" w:after="40" w:line="240" w:lineRule="auto"/>
      </w:pPr>
      <w:r>
        <w:t>Before practice: identify the formula family, define variables, and note units.</w:t>
      </w:r>
    </w:p>
    <w:p>
      <w:pPr>
        <w:pStyle w:val="ListBullet"/>
        <w:spacing w:before="0" w:after="40" w:line="240" w:lineRule="auto"/>
      </w:pPr>
      <w:r>
        <w:t>During practice: write the formula or theorem before substituting values.</w:t>
      </w:r>
    </w:p>
    <w:p>
      <w:pPr>
        <w:pStyle w:val="ListBullet"/>
        <w:spacing w:before="0" w:after="40" w:line="240" w:lineRule="auto"/>
      </w:pPr>
      <w:r>
        <w:t>After practice: record one interpretation sentence and one possible limitation.</w:t>
      </w:r>
    </w:p>
    <w:p>
      <w:pPr>
        <w:pStyle w:val="ListBullet"/>
        <w:spacing w:before="0" w:after="40" w:line="240" w:lineRule="auto"/>
      </w:pPr>
      <w:r>
        <w:t>Before exams: check which formulae are provided in the official booklet and which methods must be remembered.</w:t>
      </w:r>
    </w:p>
    <w:tbl>
      <w:tblPr>
        <w:tblW w:type="auto" w:w="0"/>
        <w:tblLook w:firstColumn="1" w:firstRow="1" w:lastColumn="0" w:lastRow="0" w:noHBand="0" w:noVBand="1" w:val="04A0"/>
      </w:tblPr>
      <w:tblGrid>
        <w:gridCol w:w="10512"/>
      </w:tblGrid>
      <w:tr>
        <w:tc>
          <w:tcPr>
            <w:tcW w:type="dxa" w:w="10512"/>
            <w:shd w:fill="E6F4F7"/>
            <w:tcBorders>
              <w:top w:sz="6" w:val="single" w:color="B7CBD5"/>
              <w:left w:sz="6" w:val="single" w:color="B7CBD5"/>
              <w:bottom w:sz="6" w:val="single" w:color="B7CBD5"/>
              <w:right w:sz="6" w:val="single" w:color="B7CBD5"/>
            </w:tcBorders>
          </w:tcPr>
          <w:p>
            <w:pPr>
              <w:spacing w:before="80" w:after="80" w:line="240" w:lineRule="auto"/>
            </w:pPr>
            <w:r>
              <w:rPr>
                <w:b/>
                <w:color w:val="0B3954"/>
                <w:sz w:val="21"/>
              </w:rPr>
              <w:t>Notation habit</w:t>
            </w:r>
            <w:r>
              <w:br/>
              <w:t>A formula earns value only when variables are defined. For example, do not write only y = abˣ; write that x is time, y is the predicted quantity, a is the initial value, and b is the growth factor.</w:t>
            </w:r>
          </w:p>
        </w:tc>
      </w:tr>
    </w:tbl>
    <w:p/>
    <w:p>
      <w:r>
        <w:br w:type="page"/>
      </w:r>
    </w:p>
    <w:p>
      <w:pPr>
        <w:pStyle w:val="Heading1"/>
        <w:spacing w:before="120" w:after="120" w:line="240" w:lineRule="auto"/>
      </w:pPr>
      <w:r>
        <w:t>2. Quick notation bank</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1152"/>
            <w:shd w:fill="0B3954"/>
            <w:vAlign w:val="center"/>
          </w:tcPr>
          <w:p>
            <w:pPr>
              <w:spacing w:before="0" w:after="20" w:line="240" w:lineRule="auto"/>
            </w:pPr>
            <w:r>
              <w:rPr>
                <w:b/>
                <w:color w:val="FFFFFF"/>
                <w:sz w:val="17"/>
              </w:rPr>
              <w:t>Symbol</w:t>
            </w:r>
          </w:p>
        </w:tc>
        <w:tc>
          <w:tcPr>
            <w:tcW w:type="dxa" w:w="2880"/>
            <w:shd w:fill="0B3954"/>
            <w:vAlign w:val="center"/>
          </w:tcPr>
          <w:p>
            <w:pPr>
              <w:spacing w:before="0" w:after="20" w:line="240" w:lineRule="auto"/>
            </w:pPr>
            <w:r>
              <w:rPr>
                <w:b/>
                <w:color w:val="FFFFFF"/>
                <w:sz w:val="17"/>
              </w:rPr>
              <w:t>Meaning</w:t>
            </w:r>
          </w:p>
        </w:tc>
        <w:tc>
          <w:tcPr>
            <w:tcW w:type="dxa" w:w="5760"/>
            <w:shd w:fill="0B3954"/>
            <w:vAlign w:val="center"/>
          </w:tcPr>
          <w:p>
            <w:pPr>
              <w:spacing w:before="0" w:after="20" w:line="240" w:lineRule="auto"/>
            </w:pPr>
            <w:r>
              <w:rPr>
                <w:b/>
                <w:color w:val="FFFFFF"/>
                <w:sz w:val="17"/>
              </w:rPr>
              <w:t>Use note</w:t>
            </w:r>
          </w:p>
        </w:tc>
      </w:tr>
      <w:tr>
        <w:tc>
          <w:tcPr>
            <w:tcW w:type="dxa" w:w="1152"/>
            <w:vAlign w:val="center"/>
          </w:tcPr>
          <w:p>
            <w:pPr>
              <w:spacing w:before="0" w:after="20" w:line="240" w:lineRule="auto"/>
            </w:pPr>
            <w:r>
              <w:rPr>
                <w:rFonts w:ascii="Arial" w:hAnsi="Arial" w:eastAsia="Arial"/>
                <w:color w:val="1F2937"/>
                <w:sz w:val="17"/>
              </w:rPr>
              <w:t>∈</w:t>
            </w:r>
          </w:p>
        </w:tc>
        <w:tc>
          <w:tcPr>
            <w:tcW w:type="dxa" w:w="2880"/>
            <w:vAlign w:val="center"/>
          </w:tcPr>
          <w:p>
            <w:pPr>
              <w:spacing w:before="0" w:after="20" w:line="240" w:lineRule="auto"/>
            </w:pPr>
            <w:r>
              <w:rPr>
                <w:rFonts w:ascii="Arial" w:hAnsi="Arial" w:eastAsia="Arial"/>
                <w:color w:val="1F2937"/>
                <w:sz w:val="17"/>
              </w:rPr>
              <w:t>is an element of</w:t>
            </w:r>
          </w:p>
        </w:tc>
        <w:tc>
          <w:tcPr>
            <w:tcW w:type="dxa" w:w="5760"/>
            <w:vAlign w:val="center"/>
          </w:tcPr>
          <w:p>
            <w:pPr>
              <w:spacing w:before="0" w:after="20" w:line="240" w:lineRule="auto"/>
            </w:pPr>
            <w:r>
              <w:rPr>
                <w:rFonts w:ascii="Arial" w:hAnsi="Arial" w:eastAsia="Arial"/>
                <w:color w:val="1F2937"/>
                <w:sz w:val="17"/>
              </w:rPr>
              <w:t>x ∈ ℝ means x is real.</w:t>
            </w:r>
          </w:p>
        </w:tc>
      </w:tr>
      <w:tr>
        <w:tc>
          <w:tcPr>
            <w:tcW w:type="dxa" w:w="1152"/>
            <w:vAlign w:val="center"/>
            <w:shd w:fill="F8FAFC"/>
          </w:tcPr>
          <w:p>
            <w:pPr>
              <w:spacing w:before="0" w:after="20" w:line="240" w:lineRule="auto"/>
            </w:pPr>
            <w:r>
              <w:rPr>
                <w:rFonts w:ascii="Arial" w:hAnsi="Arial" w:eastAsia="Arial"/>
                <w:color w:val="1F2937"/>
                <w:sz w:val="17"/>
              </w:rPr>
              <w:t>ℤ, ℚ, ℝ</w:t>
            </w:r>
          </w:p>
        </w:tc>
        <w:tc>
          <w:tcPr>
            <w:tcW w:type="dxa" w:w="2880"/>
            <w:vAlign w:val="center"/>
            <w:shd w:fill="F8FAFC"/>
          </w:tcPr>
          <w:p>
            <w:pPr>
              <w:spacing w:before="0" w:after="20" w:line="240" w:lineRule="auto"/>
            </w:pPr>
            <w:r>
              <w:rPr>
                <w:rFonts w:ascii="Arial" w:hAnsi="Arial" w:eastAsia="Arial"/>
                <w:color w:val="1F2937"/>
                <w:sz w:val="17"/>
              </w:rPr>
              <w:t>integers, rationals, reals</w:t>
            </w:r>
          </w:p>
        </w:tc>
        <w:tc>
          <w:tcPr>
            <w:tcW w:type="dxa" w:w="5760"/>
            <w:vAlign w:val="center"/>
            <w:shd w:fill="F8FAFC"/>
          </w:tcPr>
          <w:p>
            <w:pPr>
              <w:spacing w:before="0" w:after="20" w:line="240" w:lineRule="auto"/>
            </w:pPr>
            <w:r>
              <w:rPr>
                <w:rFonts w:ascii="Arial" w:hAnsi="Arial" w:eastAsia="Arial"/>
                <w:color w:val="1F2937"/>
                <w:sz w:val="17"/>
              </w:rPr>
              <w:t>State domain restrictions when solving.</w:t>
            </w:r>
          </w:p>
        </w:tc>
      </w:tr>
      <w:tr>
        <w:tc>
          <w:tcPr>
            <w:tcW w:type="dxa" w:w="1152"/>
            <w:vAlign w:val="center"/>
          </w:tcPr>
          <w:p>
            <w:pPr>
              <w:spacing w:before="0" w:after="20" w:line="240" w:lineRule="auto"/>
            </w:pPr>
            <w:r>
              <w:rPr>
                <w:rFonts w:ascii="Arial" w:hAnsi="Arial" w:eastAsia="Arial"/>
                <w:color w:val="1F2937"/>
                <w:sz w:val="17"/>
              </w:rPr>
              <w:t>Σ</w:t>
            </w:r>
          </w:p>
        </w:tc>
        <w:tc>
          <w:tcPr>
            <w:tcW w:type="dxa" w:w="2880"/>
            <w:vAlign w:val="center"/>
          </w:tcPr>
          <w:p>
            <w:pPr>
              <w:spacing w:before="0" w:after="20" w:line="240" w:lineRule="auto"/>
            </w:pPr>
            <w:r>
              <w:rPr>
                <w:rFonts w:ascii="Arial" w:hAnsi="Arial" w:eastAsia="Arial"/>
                <w:color w:val="1F2937"/>
                <w:sz w:val="17"/>
              </w:rPr>
              <w:t>sum</w:t>
            </w:r>
          </w:p>
        </w:tc>
        <w:tc>
          <w:tcPr>
            <w:tcW w:type="dxa" w:w="5760"/>
            <w:vAlign w:val="center"/>
          </w:tcPr>
          <w:p>
            <w:pPr>
              <w:spacing w:before="0" w:after="20" w:line="240" w:lineRule="auto"/>
            </w:pPr>
            <w:r>
              <w:rPr>
                <w:rFonts w:ascii="Arial" w:hAnsi="Arial" w:eastAsia="Arial"/>
                <w:color w:val="1F2937"/>
                <w:sz w:val="17"/>
              </w:rPr>
              <w:t>Σx means add all x-values in the dataset.</w:t>
            </w:r>
          </w:p>
        </w:tc>
      </w:tr>
      <w:tr>
        <w:tc>
          <w:tcPr>
            <w:tcW w:type="dxa" w:w="1152"/>
            <w:vAlign w:val="center"/>
            <w:shd w:fill="F8FAFC"/>
          </w:tcPr>
          <w:p>
            <w:pPr>
              <w:spacing w:before="0" w:after="20" w:line="240" w:lineRule="auto"/>
            </w:pPr>
            <w:r>
              <w:rPr>
                <w:rFonts w:ascii="Arial" w:hAnsi="Arial" w:eastAsia="Arial"/>
                <w:color w:val="1F2937"/>
                <w:sz w:val="17"/>
              </w:rPr>
              <w:t>≈</w:t>
            </w:r>
          </w:p>
        </w:tc>
        <w:tc>
          <w:tcPr>
            <w:tcW w:type="dxa" w:w="2880"/>
            <w:vAlign w:val="center"/>
            <w:shd w:fill="F8FAFC"/>
          </w:tcPr>
          <w:p>
            <w:pPr>
              <w:spacing w:before="0" w:after="20" w:line="240" w:lineRule="auto"/>
            </w:pPr>
            <w:r>
              <w:rPr>
                <w:rFonts w:ascii="Arial" w:hAnsi="Arial" w:eastAsia="Arial"/>
                <w:color w:val="1F2937"/>
                <w:sz w:val="17"/>
              </w:rPr>
              <w:t>approximately equal</w:t>
            </w:r>
          </w:p>
        </w:tc>
        <w:tc>
          <w:tcPr>
            <w:tcW w:type="dxa" w:w="5760"/>
            <w:vAlign w:val="center"/>
            <w:shd w:fill="F8FAFC"/>
          </w:tcPr>
          <w:p>
            <w:pPr>
              <w:spacing w:before="0" w:after="20" w:line="240" w:lineRule="auto"/>
            </w:pPr>
            <w:r>
              <w:rPr>
                <w:rFonts w:ascii="Arial" w:hAnsi="Arial" w:eastAsia="Arial"/>
                <w:color w:val="1F2937"/>
                <w:sz w:val="17"/>
              </w:rPr>
              <w:t>Use with rounded answers.</w:t>
            </w:r>
          </w:p>
        </w:tc>
      </w:tr>
      <w:tr>
        <w:tc>
          <w:tcPr>
            <w:tcW w:type="dxa" w:w="1152"/>
            <w:vAlign w:val="center"/>
          </w:tcPr>
          <w:p>
            <w:pPr>
              <w:spacing w:before="0" w:after="20" w:line="240" w:lineRule="auto"/>
            </w:pPr>
            <w:r>
              <w:rPr>
                <w:rFonts w:ascii="Arial" w:hAnsi="Arial" w:eastAsia="Arial"/>
                <w:color w:val="1F2937"/>
                <w:sz w:val="17"/>
              </w:rPr>
              <w:t>f(x), f⁻¹(x)</w:t>
            </w:r>
          </w:p>
        </w:tc>
        <w:tc>
          <w:tcPr>
            <w:tcW w:type="dxa" w:w="2880"/>
            <w:vAlign w:val="center"/>
          </w:tcPr>
          <w:p>
            <w:pPr>
              <w:spacing w:before="0" w:after="20" w:line="240" w:lineRule="auto"/>
            </w:pPr>
            <w:r>
              <w:rPr>
                <w:rFonts w:ascii="Arial" w:hAnsi="Arial" w:eastAsia="Arial"/>
                <w:color w:val="1F2937"/>
                <w:sz w:val="17"/>
              </w:rPr>
              <w:t>function and inverse function</w:t>
            </w:r>
          </w:p>
        </w:tc>
        <w:tc>
          <w:tcPr>
            <w:tcW w:type="dxa" w:w="5760"/>
            <w:vAlign w:val="center"/>
          </w:tcPr>
          <w:p>
            <w:pPr>
              <w:spacing w:before="0" w:after="20" w:line="240" w:lineRule="auto"/>
            </w:pPr>
            <w:r>
              <w:rPr>
                <w:rFonts w:ascii="Arial" w:hAnsi="Arial" w:eastAsia="Arial"/>
                <w:color w:val="1F2937"/>
                <w:sz w:val="17"/>
              </w:rPr>
              <w:t>Check domain/range restrictions.</w:t>
            </w:r>
          </w:p>
        </w:tc>
      </w:tr>
      <w:tr>
        <w:tc>
          <w:tcPr>
            <w:tcW w:type="dxa" w:w="1152"/>
            <w:vAlign w:val="center"/>
            <w:shd w:fill="F8FAFC"/>
          </w:tcPr>
          <w:p>
            <w:pPr>
              <w:spacing w:before="0" w:after="20" w:line="240" w:lineRule="auto"/>
            </w:pPr>
            <w:r>
              <w:rPr>
                <w:rFonts w:ascii="Arial" w:hAnsi="Arial" w:eastAsia="Arial"/>
                <w:color w:val="1F2937"/>
                <w:sz w:val="17"/>
              </w:rPr>
              <w:t>P(A), P(A|B)</w:t>
            </w:r>
          </w:p>
        </w:tc>
        <w:tc>
          <w:tcPr>
            <w:tcW w:type="dxa" w:w="2880"/>
            <w:vAlign w:val="center"/>
            <w:shd w:fill="F8FAFC"/>
          </w:tcPr>
          <w:p>
            <w:pPr>
              <w:spacing w:before="0" w:after="20" w:line="240" w:lineRule="auto"/>
            </w:pPr>
            <w:r>
              <w:rPr>
                <w:rFonts w:ascii="Arial" w:hAnsi="Arial" w:eastAsia="Arial"/>
                <w:color w:val="1F2937"/>
                <w:sz w:val="17"/>
              </w:rPr>
              <w:t>probability and conditional probability</w:t>
            </w:r>
          </w:p>
        </w:tc>
        <w:tc>
          <w:tcPr>
            <w:tcW w:type="dxa" w:w="5760"/>
            <w:vAlign w:val="center"/>
            <w:shd w:fill="F8FAFC"/>
          </w:tcPr>
          <w:p>
            <w:pPr>
              <w:spacing w:before="0" w:after="20" w:line="240" w:lineRule="auto"/>
            </w:pPr>
            <w:r>
              <w:rPr>
                <w:rFonts w:ascii="Arial" w:hAnsi="Arial" w:eastAsia="Arial"/>
                <w:color w:val="1F2937"/>
                <w:sz w:val="17"/>
              </w:rPr>
              <w:t>P(A|B) means A given B.</w:t>
            </w:r>
          </w:p>
        </w:tc>
      </w:tr>
      <w:tr>
        <w:tc>
          <w:tcPr>
            <w:tcW w:type="dxa" w:w="1152"/>
            <w:vAlign w:val="center"/>
          </w:tcPr>
          <w:p>
            <w:pPr>
              <w:spacing w:before="0" w:after="20" w:line="240" w:lineRule="auto"/>
            </w:pPr>
            <w:r>
              <w:rPr>
                <w:rFonts w:ascii="Arial" w:hAnsi="Arial" w:eastAsia="Arial"/>
                <w:color w:val="1F2937"/>
                <w:sz w:val="17"/>
              </w:rPr>
              <w:t>E(X), Var(X), σ</w:t>
            </w:r>
          </w:p>
        </w:tc>
        <w:tc>
          <w:tcPr>
            <w:tcW w:type="dxa" w:w="2880"/>
            <w:vAlign w:val="center"/>
          </w:tcPr>
          <w:p>
            <w:pPr>
              <w:spacing w:before="0" w:after="20" w:line="240" w:lineRule="auto"/>
            </w:pPr>
            <w:r>
              <w:rPr>
                <w:rFonts w:ascii="Arial" w:hAnsi="Arial" w:eastAsia="Arial"/>
                <w:color w:val="1F2937"/>
                <w:sz w:val="17"/>
              </w:rPr>
              <w:t>expected value, variance, standard deviation</w:t>
            </w:r>
          </w:p>
        </w:tc>
        <w:tc>
          <w:tcPr>
            <w:tcW w:type="dxa" w:w="5760"/>
            <w:vAlign w:val="center"/>
          </w:tcPr>
          <w:p>
            <w:pPr>
              <w:spacing w:before="0" w:after="20" w:line="240" w:lineRule="auto"/>
            </w:pPr>
            <w:r>
              <w:rPr>
                <w:rFonts w:ascii="Arial" w:hAnsi="Arial" w:eastAsia="Arial"/>
                <w:color w:val="1F2937"/>
                <w:sz w:val="17"/>
              </w:rPr>
              <w:t>Use correct calculator/stat notation.</w:t>
            </w:r>
          </w:p>
        </w:tc>
      </w:tr>
      <w:tr>
        <w:tc>
          <w:tcPr>
            <w:tcW w:type="dxa" w:w="1152"/>
            <w:vAlign w:val="center"/>
            <w:shd w:fill="F8FAFC"/>
          </w:tcPr>
          <w:p>
            <w:pPr>
              <w:spacing w:before="0" w:after="20" w:line="240" w:lineRule="auto"/>
            </w:pPr>
            <w:r>
              <w:rPr>
                <w:rFonts w:ascii="Arial" w:hAnsi="Arial" w:eastAsia="Arial"/>
                <w:color w:val="1F2937"/>
                <w:sz w:val="17"/>
              </w:rPr>
              <w:t>dy/dx, f′(x)</w:t>
            </w:r>
          </w:p>
        </w:tc>
        <w:tc>
          <w:tcPr>
            <w:tcW w:type="dxa" w:w="2880"/>
            <w:vAlign w:val="center"/>
            <w:shd w:fill="F8FAFC"/>
          </w:tcPr>
          <w:p>
            <w:pPr>
              <w:spacing w:before="0" w:after="20" w:line="240" w:lineRule="auto"/>
            </w:pPr>
            <w:r>
              <w:rPr>
                <w:rFonts w:ascii="Arial" w:hAnsi="Arial" w:eastAsia="Arial"/>
                <w:color w:val="1F2937"/>
                <w:sz w:val="17"/>
              </w:rPr>
              <w:t>derivative</w:t>
            </w:r>
          </w:p>
        </w:tc>
        <w:tc>
          <w:tcPr>
            <w:tcW w:type="dxa" w:w="5760"/>
            <w:vAlign w:val="center"/>
            <w:shd w:fill="F8FAFC"/>
          </w:tcPr>
          <w:p>
            <w:pPr>
              <w:spacing w:before="0" w:after="20" w:line="240" w:lineRule="auto"/>
            </w:pPr>
            <w:r>
              <w:rPr>
                <w:rFonts w:ascii="Arial" w:hAnsi="Arial" w:eastAsia="Arial"/>
                <w:color w:val="1F2937"/>
                <w:sz w:val="17"/>
              </w:rPr>
              <w:t>Gradient/rate of change.</w:t>
            </w:r>
          </w:p>
        </w:tc>
      </w:tr>
      <w:tr>
        <w:tc>
          <w:tcPr>
            <w:tcW w:type="dxa" w:w="1152"/>
            <w:vAlign w:val="center"/>
          </w:tcPr>
          <w:p>
            <w:pPr>
              <w:spacing w:before="0" w:after="20" w:line="240" w:lineRule="auto"/>
            </w:pPr>
            <w:r>
              <w:rPr>
                <w:rFonts w:ascii="Arial" w:hAnsi="Arial" w:eastAsia="Arial"/>
                <w:color w:val="1F2937"/>
                <w:sz w:val="17"/>
              </w:rPr>
              <w:t>∫</w:t>
            </w:r>
          </w:p>
        </w:tc>
        <w:tc>
          <w:tcPr>
            <w:tcW w:type="dxa" w:w="2880"/>
            <w:vAlign w:val="center"/>
          </w:tcPr>
          <w:p>
            <w:pPr>
              <w:spacing w:before="0" w:after="20" w:line="240" w:lineRule="auto"/>
            </w:pPr>
            <w:r>
              <w:rPr>
                <w:rFonts w:ascii="Arial" w:hAnsi="Arial" w:eastAsia="Arial"/>
                <w:color w:val="1F2937"/>
                <w:sz w:val="17"/>
              </w:rPr>
              <w:t>integral</w:t>
            </w:r>
          </w:p>
        </w:tc>
        <w:tc>
          <w:tcPr>
            <w:tcW w:type="dxa" w:w="5760"/>
            <w:vAlign w:val="center"/>
          </w:tcPr>
          <w:p>
            <w:pPr>
              <w:spacing w:before="0" w:after="20" w:line="240" w:lineRule="auto"/>
            </w:pPr>
            <w:r>
              <w:rPr>
                <w:rFonts w:ascii="Arial" w:hAnsi="Arial" w:eastAsia="Arial"/>
                <w:color w:val="1F2937"/>
                <w:sz w:val="17"/>
              </w:rPr>
              <w:t>Accumulation/area under a curve.</w:t>
            </w:r>
          </w:p>
        </w:tc>
      </w:tr>
      <w:tr>
        <w:tc>
          <w:tcPr>
            <w:tcW w:type="dxa" w:w="1152"/>
            <w:vAlign w:val="center"/>
            <w:shd w:fill="F8FAFC"/>
          </w:tcPr>
          <w:p>
            <w:pPr>
              <w:spacing w:before="0" w:after="20" w:line="240" w:lineRule="auto"/>
            </w:pPr>
            <w:r>
              <w:rPr>
                <w:rFonts w:ascii="Arial" w:hAnsi="Arial" w:eastAsia="Arial"/>
                <w:color w:val="1F2937"/>
                <w:sz w:val="17"/>
              </w:rPr>
              <w:t>|z|, arg(z)</w:t>
            </w:r>
          </w:p>
        </w:tc>
        <w:tc>
          <w:tcPr>
            <w:tcW w:type="dxa" w:w="2880"/>
            <w:vAlign w:val="center"/>
            <w:shd w:fill="F8FAFC"/>
          </w:tcPr>
          <w:p>
            <w:pPr>
              <w:spacing w:before="0" w:after="20" w:line="240" w:lineRule="auto"/>
            </w:pPr>
            <w:r>
              <w:rPr>
                <w:rFonts w:ascii="Arial" w:hAnsi="Arial" w:eastAsia="Arial"/>
                <w:color w:val="1F2937"/>
                <w:sz w:val="17"/>
              </w:rPr>
              <w:t>modulus and argument of complex number</w:t>
            </w:r>
          </w:p>
        </w:tc>
        <w:tc>
          <w:tcPr>
            <w:tcW w:type="dxa" w:w="5760"/>
            <w:vAlign w:val="center"/>
            <w:shd w:fill="F8FAFC"/>
          </w:tcPr>
          <w:p>
            <w:pPr>
              <w:spacing w:before="0" w:after="20" w:line="240" w:lineRule="auto"/>
            </w:pPr>
            <w:r>
              <w:rPr>
                <w:rFonts w:ascii="Arial" w:hAnsi="Arial" w:eastAsia="Arial"/>
                <w:color w:val="1F2937"/>
                <w:sz w:val="17"/>
              </w:rPr>
              <w:t>HL.</w:t>
            </w:r>
          </w:p>
        </w:tc>
      </w:tr>
    </w:tbl>
    <w:p/>
    <w:p>
      <w:r>
        <w:br w:type="page"/>
      </w:r>
    </w:p>
    <w:p>
      <w:pPr>
        <w:pStyle w:val="Heading1"/>
        <w:spacing w:before="120" w:after="120" w:line="240" w:lineRule="auto"/>
      </w:pPr>
      <w:r>
        <w:t>3. Formula and theorem bank by topic</w:t>
      </w:r>
    </w:p>
    <w:p>
      <w:pPr>
        <w:pStyle w:val="Heading2"/>
        <w:spacing w:before="80" w:after="60" w:line="240" w:lineRule="auto"/>
      </w:pPr>
      <w:r>
        <w:t>Number and algebra</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Standard form</w:t>
            </w:r>
          </w:p>
        </w:tc>
        <w:tc>
          <w:tcPr>
            <w:tcW w:type="dxa" w:w="3600"/>
            <w:vAlign w:val="center"/>
          </w:tcPr>
          <w:p>
            <w:pPr>
              <w:spacing w:before="0" w:after="20" w:line="240" w:lineRule="auto"/>
            </w:pPr>
            <w:r>
              <w:rPr>
                <w:rFonts w:ascii="Arial" w:hAnsi="Arial" w:eastAsia="Arial"/>
                <w:color w:val="1F2937"/>
                <w:sz w:val="14"/>
              </w:rPr>
              <w:t>a × 10ᵏ, where 1 ≤ a &lt; 10 and k ∈ ℤ</w:t>
            </w:r>
          </w:p>
        </w:tc>
        <w:tc>
          <w:tcPr>
            <w:tcW w:type="dxa" w:w="3600"/>
            <w:vAlign w:val="center"/>
          </w:tcPr>
          <w:p>
            <w:pPr>
              <w:spacing w:before="0" w:after="20" w:line="240" w:lineRule="auto"/>
            </w:pPr>
            <w:r>
              <w:rPr>
                <w:rFonts w:ascii="Arial" w:hAnsi="Arial" w:eastAsia="Arial"/>
                <w:color w:val="1F2937"/>
                <w:sz w:val="14"/>
              </w:rPr>
              <w:t>Very large/small quantities, units, and estimation. Watch: Do not leave calculator notation such as 5.2E30 in final written work.</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Percentage error</w:t>
            </w:r>
          </w:p>
        </w:tc>
        <w:tc>
          <w:tcPr>
            <w:tcW w:type="dxa" w:w="3600"/>
            <w:vAlign w:val="center"/>
            <w:shd w:fill="F8FAFC"/>
          </w:tcPr>
          <w:p>
            <w:pPr>
              <w:spacing w:before="0" w:after="20" w:line="240" w:lineRule="auto"/>
            </w:pPr>
            <w:r>
              <w:rPr>
                <w:rFonts w:ascii="Arial" w:hAnsi="Arial" w:eastAsia="Arial"/>
                <w:color w:val="1F2937"/>
                <w:sz w:val="14"/>
              </w:rPr>
              <w:t>percentage error = |approx − exact| / |exact| × 100%</w:t>
            </w:r>
          </w:p>
        </w:tc>
        <w:tc>
          <w:tcPr>
            <w:tcW w:type="dxa" w:w="3600"/>
            <w:vAlign w:val="center"/>
            <w:shd w:fill="F8FAFC"/>
          </w:tcPr>
          <w:p>
            <w:pPr>
              <w:spacing w:before="0" w:after="20" w:line="240" w:lineRule="auto"/>
            </w:pPr>
            <w:r>
              <w:rPr>
                <w:rFonts w:ascii="Arial" w:hAnsi="Arial" w:eastAsia="Arial"/>
                <w:color w:val="1F2937"/>
                <w:sz w:val="14"/>
              </w:rPr>
              <w:t>Quantifying measurement/rounding error. Watch: Use exact value in denominator unless context defines otherwise.</w:t>
            </w:r>
          </w:p>
        </w:tc>
      </w:tr>
    </w:tbl>
    <w:p/>
    <w:p>
      <w:pPr>
        <w:pStyle w:val="Heading2"/>
        <w:spacing w:before="80" w:after="60" w:line="240" w:lineRule="auto"/>
      </w:pPr>
      <w:r>
        <w:t>Sequences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Arithmetic sequence</w:t>
            </w:r>
          </w:p>
        </w:tc>
        <w:tc>
          <w:tcPr>
            <w:tcW w:type="dxa" w:w="3600"/>
            <w:vAlign w:val="center"/>
          </w:tcPr>
          <w:p>
            <w:pPr>
              <w:spacing w:before="0" w:after="20" w:line="240" w:lineRule="auto"/>
            </w:pPr>
            <w:r>
              <w:rPr>
                <w:rFonts w:ascii="Arial" w:hAnsi="Arial" w:eastAsia="Arial"/>
                <w:color w:val="1F2937"/>
                <w:sz w:val="14"/>
              </w:rPr>
              <w:t>uₙ = u₁ + (n − 1)d</w:t>
            </w:r>
          </w:p>
        </w:tc>
        <w:tc>
          <w:tcPr>
            <w:tcW w:type="dxa" w:w="3600"/>
            <w:vAlign w:val="center"/>
          </w:tcPr>
          <w:p>
            <w:pPr>
              <w:spacing w:before="0" w:after="20" w:line="240" w:lineRule="auto"/>
            </w:pPr>
            <w:r>
              <w:rPr>
                <w:rFonts w:ascii="Arial" w:hAnsi="Arial" w:eastAsia="Arial"/>
                <w:color w:val="1F2937"/>
                <w:sz w:val="14"/>
              </w:rPr>
              <w:t>Constant difference patterns. Watch: Check whether n starts at 1 or 0.</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Arithmetic series</w:t>
            </w:r>
          </w:p>
        </w:tc>
        <w:tc>
          <w:tcPr>
            <w:tcW w:type="dxa" w:w="3600"/>
            <w:vAlign w:val="center"/>
            <w:shd w:fill="F8FAFC"/>
          </w:tcPr>
          <w:p>
            <w:pPr>
              <w:spacing w:before="0" w:after="20" w:line="240" w:lineRule="auto"/>
            </w:pPr>
            <w:r>
              <w:rPr>
                <w:rFonts w:ascii="Arial" w:hAnsi="Arial" w:eastAsia="Arial"/>
                <w:color w:val="1F2937"/>
                <w:sz w:val="14"/>
              </w:rPr>
              <w:t>Sₙ = n/2[2u₁ + (n − 1)d] = n/2(u₁ + uₙ)</w:t>
            </w:r>
          </w:p>
        </w:tc>
        <w:tc>
          <w:tcPr>
            <w:tcW w:type="dxa" w:w="3600"/>
            <w:vAlign w:val="center"/>
            <w:shd w:fill="F8FAFC"/>
          </w:tcPr>
          <w:p>
            <w:pPr>
              <w:spacing w:before="0" w:after="20" w:line="240" w:lineRule="auto"/>
            </w:pPr>
            <w:r>
              <w:rPr>
                <w:rFonts w:ascii="Arial" w:hAnsi="Arial" w:eastAsia="Arial"/>
                <w:color w:val="1F2937"/>
                <w:sz w:val="14"/>
              </w:rPr>
              <w:t>Total of a linear-growth sequence. Watch: Do not confuse uₙ with Sₙ.</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Geometric sequence</w:t>
            </w:r>
          </w:p>
        </w:tc>
        <w:tc>
          <w:tcPr>
            <w:tcW w:type="dxa" w:w="3600"/>
            <w:vAlign w:val="center"/>
          </w:tcPr>
          <w:p>
            <w:pPr>
              <w:spacing w:before="0" w:after="20" w:line="240" w:lineRule="auto"/>
            </w:pPr>
            <w:r>
              <w:rPr>
                <w:rFonts w:ascii="Arial" w:hAnsi="Arial" w:eastAsia="Arial"/>
                <w:color w:val="1F2937"/>
                <w:sz w:val="14"/>
              </w:rPr>
              <w:t>uₙ = u₁rⁿ⁻¹</w:t>
            </w:r>
          </w:p>
        </w:tc>
        <w:tc>
          <w:tcPr>
            <w:tcW w:type="dxa" w:w="3600"/>
            <w:vAlign w:val="center"/>
          </w:tcPr>
          <w:p>
            <w:pPr>
              <w:spacing w:before="0" w:after="20" w:line="240" w:lineRule="auto"/>
            </w:pPr>
            <w:r>
              <w:rPr>
                <w:rFonts w:ascii="Arial" w:hAnsi="Arial" w:eastAsia="Arial"/>
                <w:color w:val="1F2937"/>
                <w:sz w:val="14"/>
              </w:rPr>
              <w:t>Constant ratio patterns and compound growth. Watch: r is the multiplier, not the percent change.</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Geometric series</w:t>
            </w:r>
          </w:p>
        </w:tc>
        <w:tc>
          <w:tcPr>
            <w:tcW w:type="dxa" w:w="3600"/>
            <w:vAlign w:val="center"/>
            <w:shd w:fill="F8FAFC"/>
          </w:tcPr>
          <w:p>
            <w:pPr>
              <w:spacing w:before="0" w:after="20" w:line="240" w:lineRule="auto"/>
            </w:pPr>
            <w:r>
              <w:rPr>
                <w:rFonts w:ascii="Arial" w:hAnsi="Arial" w:eastAsia="Arial"/>
                <w:color w:val="1F2937"/>
                <w:sz w:val="14"/>
              </w:rPr>
              <w:t>Sₙ = u₁(1 − rⁿ)/(1 − r), r ≠ 1</w:t>
            </w:r>
          </w:p>
        </w:tc>
        <w:tc>
          <w:tcPr>
            <w:tcW w:type="dxa" w:w="3600"/>
            <w:vAlign w:val="center"/>
            <w:shd w:fill="F8FAFC"/>
          </w:tcPr>
          <w:p>
            <w:pPr>
              <w:spacing w:before="0" w:after="20" w:line="240" w:lineRule="auto"/>
            </w:pPr>
            <w:r>
              <w:rPr>
                <w:rFonts w:ascii="Arial" w:hAnsi="Arial" w:eastAsia="Arial"/>
                <w:color w:val="1F2937"/>
                <w:sz w:val="14"/>
              </w:rPr>
              <w:t>Total of finite geometric growth/decay. Watch: Use the correct first term and number of terms.</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Infinite geometric series</w:t>
            </w:r>
          </w:p>
        </w:tc>
        <w:tc>
          <w:tcPr>
            <w:tcW w:type="dxa" w:w="3600"/>
            <w:vAlign w:val="center"/>
          </w:tcPr>
          <w:p>
            <w:pPr>
              <w:spacing w:before="0" w:after="20" w:line="240" w:lineRule="auto"/>
            </w:pPr>
            <w:r>
              <w:rPr>
                <w:rFonts w:ascii="Arial" w:hAnsi="Arial" w:eastAsia="Arial"/>
                <w:color w:val="1F2937"/>
                <w:sz w:val="14"/>
              </w:rPr>
              <w:t>S∞ = u₁/(1 − r), valid when |r| &lt; 1</w:t>
            </w:r>
          </w:p>
        </w:tc>
        <w:tc>
          <w:tcPr>
            <w:tcW w:type="dxa" w:w="3600"/>
            <w:vAlign w:val="center"/>
          </w:tcPr>
          <w:p>
            <w:pPr>
              <w:spacing w:before="0" w:after="20" w:line="240" w:lineRule="auto"/>
            </w:pPr>
            <w:r>
              <w:rPr>
                <w:rFonts w:ascii="Arial" w:hAnsi="Arial" w:eastAsia="Arial"/>
                <w:color w:val="1F2937"/>
                <w:sz w:val="14"/>
              </w:rPr>
              <w:t>Fractals, limits, long-run totals. Watch: Always check |r| &lt; 1 before using.</w:t>
            </w:r>
          </w:p>
        </w:tc>
      </w:tr>
    </w:tbl>
    <w:p/>
    <w:p>
      <w:pPr>
        <w:pStyle w:val="Heading2"/>
        <w:spacing w:before="80" w:after="60" w:line="240" w:lineRule="auto"/>
      </w:pPr>
      <w:r>
        <w:t>Finance</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Compound interest</w:t>
            </w:r>
          </w:p>
        </w:tc>
        <w:tc>
          <w:tcPr>
            <w:tcW w:type="dxa" w:w="3600"/>
            <w:vAlign w:val="center"/>
          </w:tcPr>
          <w:p>
            <w:pPr>
              <w:spacing w:before="0" w:after="20" w:line="240" w:lineRule="auto"/>
            </w:pPr>
            <w:r>
              <w:rPr>
                <w:rFonts w:ascii="Arial" w:hAnsi="Arial" w:eastAsia="Arial"/>
                <w:color w:val="1F2937"/>
                <w:sz w:val="14"/>
              </w:rPr>
              <w:t>FV = PV(1 + r/k)ᵏᵗ</w:t>
            </w:r>
          </w:p>
        </w:tc>
        <w:tc>
          <w:tcPr>
            <w:tcW w:type="dxa" w:w="3600"/>
            <w:vAlign w:val="center"/>
          </w:tcPr>
          <w:p>
            <w:pPr>
              <w:spacing w:before="0" w:after="20" w:line="240" w:lineRule="auto"/>
            </w:pPr>
            <w:r>
              <w:rPr>
                <w:rFonts w:ascii="Arial" w:hAnsi="Arial" w:eastAsia="Arial"/>
                <w:color w:val="1F2937"/>
                <w:sz w:val="14"/>
              </w:rPr>
              <w:t>Growth with k compounding periods per year. Watch: Use r as a decimal; t in years; match compounding units.</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Depreciation / decay</w:t>
            </w:r>
          </w:p>
        </w:tc>
        <w:tc>
          <w:tcPr>
            <w:tcW w:type="dxa" w:w="3600"/>
            <w:vAlign w:val="center"/>
            <w:shd w:fill="F8FAFC"/>
          </w:tcPr>
          <w:p>
            <w:pPr>
              <w:spacing w:before="0" w:after="20" w:line="240" w:lineRule="auto"/>
            </w:pPr>
            <w:r>
              <w:rPr>
                <w:rFonts w:ascii="Arial" w:hAnsi="Arial" w:eastAsia="Arial"/>
                <w:color w:val="1F2937"/>
                <w:sz w:val="14"/>
              </w:rPr>
              <w:t>V = V₀(1 − r)ᵗ</w:t>
            </w:r>
          </w:p>
        </w:tc>
        <w:tc>
          <w:tcPr>
            <w:tcW w:type="dxa" w:w="3600"/>
            <w:vAlign w:val="center"/>
            <w:shd w:fill="F8FAFC"/>
          </w:tcPr>
          <w:p>
            <w:pPr>
              <w:spacing w:before="0" w:after="20" w:line="240" w:lineRule="auto"/>
            </w:pPr>
            <w:r>
              <w:rPr>
                <w:rFonts w:ascii="Arial" w:hAnsi="Arial" w:eastAsia="Arial"/>
                <w:color w:val="1F2937"/>
                <w:sz w:val="14"/>
              </w:rPr>
              <w:t>Repeated percentage decrease. Watch: A 15% decrease means multiplier 0.85, not 0.15.</w:t>
            </w:r>
          </w:p>
        </w:tc>
      </w:tr>
    </w:tbl>
    <w:p/>
    <w:p>
      <w:pPr>
        <w:pStyle w:val="Heading2"/>
        <w:spacing w:before="80" w:after="60" w:line="240" w:lineRule="auto"/>
      </w:pPr>
      <w:r>
        <w:t>Logarithms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Log meaning</w:t>
            </w:r>
          </w:p>
        </w:tc>
        <w:tc>
          <w:tcPr>
            <w:tcW w:type="dxa" w:w="3600"/>
            <w:vAlign w:val="center"/>
          </w:tcPr>
          <w:p>
            <w:pPr>
              <w:spacing w:before="0" w:after="20" w:line="240" w:lineRule="auto"/>
            </w:pPr>
            <w:r>
              <w:rPr>
                <w:rFonts w:ascii="Arial" w:hAnsi="Arial" w:eastAsia="Arial"/>
                <w:color w:val="1F2937"/>
                <w:sz w:val="14"/>
              </w:rPr>
              <w:t>aˣ = b ⇔ logₐ(b) = x; ln(x) = logₑ(x)</w:t>
            </w:r>
          </w:p>
        </w:tc>
        <w:tc>
          <w:tcPr>
            <w:tcW w:type="dxa" w:w="3600"/>
            <w:vAlign w:val="center"/>
          </w:tcPr>
          <w:p>
            <w:pPr>
              <w:spacing w:before="0" w:after="20" w:line="240" w:lineRule="auto"/>
            </w:pPr>
            <w:r>
              <w:rPr>
                <w:rFonts w:ascii="Arial" w:hAnsi="Arial" w:eastAsia="Arial"/>
                <w:color w:val="1F2937"/>
                <w:sz w:val="14"/>
              </w:rPr>
              <w:t>Solving exponential equations and interpreting logs. Watch: Domain: b &gt; 0, a &gt; 0, a ≠ 1.</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Log laws</w:t>
            </w:r>
          </w:p>
        </w:tc>
        <w:tc>
          <w:tcPr>
            <w:tcW w:type="dxa" w:w="3600"/>
            <w:vAlign w:val="center"/>
            <w:shd w:fill="F8FAFC"/>
          </w:tcPr>
          <w:p>
            <w:pPr>
              <w:spacing w:before="0" w:after="20" w:line="240" w:lineRule="auto"/>
            </w:pPr>
            <w:r>
              <w:rPr>
                <w:rFonts w:ascii="Arial" w:hAnsi="Arial" w:eastAsia="Arial"/>
                <w:color w:val="1F2937"/>
                <w:sz w:val="14"/>
              </w:rPr>
              <w:t>logₐ(xy)=logₐx+logₐy; logₐ(x/y)=logₐx−logₐy; logₐ(xᵐ)=m logₐx</w:t>
            </w:r>
          </w:p>
        </w:tc>
        <w:tc>
          <w:tcPr>
            <w:tcW w:type="dxa" w:w="3600"/>
            <w:vAlign w:val="center"/>
            <w:shd w:fill="F8FAFC"/>
          </w:tcPr>
          <w:p>
            <w:pPr>
              <w:spacing w:before="0" w:after="20" w:line="240" w:lineRule="auto"/>
            </w:pPr>
            <w:r>
              <w:rPr>
                <w:rFonts w:ascii="Arial" w:hAnsi="Arial" w:eastAsia="Arial"/>
                <w:color w:val="1F2937"/>
                <w:sz w:val="14"/>
              </w:rPr>
              <w:t>Linearizing data and solving equations. Watch: Laws need positive arguments.</w:t>
            </w:r>
          </w:p>
        </w:tc>
      </w:tr>
    </w:tbl>
    <w:p/>
    <w:p>
      <w:pPr>
        <w:pStyle w:val="Heading2"/>
        <w:spacing w:before="80" w:after="60" w:line="240" w:lineRule="auto"/>
      </w:pPr>
      <w:r>
        <w:t>Complex numbers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Cartesian form</w:t>
            </w:r>
          </w:p>
        </w:tc>
        <w:tc>
          <w:tcPr>
            <w:tcW w:type="dxa" w:w="3600"/>
            <w:vAlign w:val="center"/>
          </w:tcPr>
          <w:p>
            <w:pPr>
              <w:spacing w:before="0" w:after="20" w:line="240" w:lineRule="auto"/>
            </w:pPr>
            <w:r>
              <w:rPr>
                <w:rFonts w:ascii="Arial" w:hAnsi="Arial" w:eastAsia="Arial"/>
                <w:color w:val="1F2937"/>
                <w:sz w:val="14"/>
              </w:rPr>
              <w:t>z = a + bi, i² = −1; |z| = √(a² + b²); z* = a − bi</w:t>
            </w:r>
          </w:p>
        </w:tc>
        <w:tc>
          <w:tcPr>
            <w:tcW w:type="dxa" w:w="3600"/>
            <w:vAlign w:val="center"/>
          </w:tcPr>
          <w:p>
            <w:pPr>
              <w:spacing w:before="0" w:after="20" w:line="240" w:lineRule="auto"/>
            </w:pPr>
            <w:r>
              <w:rPr>
                <w:rFonts w:ascii="Arial" w:hAnsi="Arial" w:eastAsia="Arial"/>
                <w:color w:val="1F2937"/>
                <w:sz w:val="14"/>
              </w:rPr>
              <w:t>Complex arithmetic and Argand diagrams. Watch: Keep i² = −1 when simplifying powers.</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Polar/exponential form</w:t>
            </w:r>
          </w:p>
        </w:tc>
        <w:tc>
          <w:tcPr>
            <w:tcW w:type="dxa" w:w="3600"/>
            <w:vAlign w:val="center"/>
            <w:shd w:fill="F8FAFC"/>
          </w:tcPr>
          <w:p>
            <w:pPr>
              <w:spacing w:before="0" w:after="20" w:line="240" w:lineRule="auto"/>
            </w:pPr>
            <w:r>
              <w:rPr>
                <w:rFonts w:ascii="Arial" w:hAnsi="Arial" w:eastAsia="Arial"/>
                <w:color w:val="1F2937"/>
                <w:sz w:val="14"/>
              </w:rPr>
              <w:t>z = r(cos θ + i sin θ) = r cis θ = r eⁱθ</w:t>
            </w:r>
          </w:p>
        </w:tc>
        <w:tc>
          <w:tcPr>
            <w:tcW w:type="dxa" w:w="3600"/>
            <w:vAlign w:val="center"/>
            <w:shd w:fill="F8FAFC"/>
          </w:tcPr>
          <w:p>
            <w:pPr>
              <w:spacing w:before="0" w:after="20" w:line="240" w:lineRule="auto"/>
            </w:pPr>
            <w:r>
              <w:rPr>
                <w:rFonts w:ascii="Arial" w:hAnsi="Arial" w:eastAsia="Arial"/>
                <w:color w:val="1F2937"/>
                <w:sz w:val="14"/>
              </w:rPr>
              <w:t>Multiplication, division, powers, phase shifts. Watch: Angle measure must match calculator mode.</w:t>
            </w:r>
          </w:p>
        </w:tc>
      </w:tr>
    </w:tbl>
    <w:p/>
    <w:p>
      <w:pPr>
        <w:pStyle w:val="Heading2"/>
        <w:spacing w:before="80" w:after="60" w:line="240" w:lineRule="auto"/>
      </w:pPr>
      <w:r>
        <w:t>Matrices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2×2 determinant</w:t>
            </w:r>
          </w:p>
        </w:tc>
        <w:tc>
          <w:tcPr>
            <w:tcW w:type="dxa" w:w="3600"/>
            <w:vAlign w:val="center"/>
          </w:tcPr>
          <w:p>
            <w:pPr>
              <w:spacing w:before="0" w:after="20" w:line="240" w:lineRule="auto"/>
            </w:pPr>
            <w:r>
              <w:rPr>
                <w:rFonts w:ascii="Arial" w:hAnsi="Arial" w:eastAsia="Arial"/>
                <w:color w:val="1F2937"/>
                <w:sz w:val="14"/>
              </w:rPr>
              <w:t>For A = [[a,b],[c,d]], det(A) = ad − bc</w:t>
            </w:r>
          </w:p>
        </w:tc>
        <w:tc>
          <w:tcPr>
            <w:tcW w:type="dxa" w:w="3600"/>
            <w:vAlign w:val="center"/>
          </w:tcPr>
          <w:p>
            <w:pPr>
              <w:spacing w:before="0" w:after="20" w:line="240" w:lineRule="auto"/>
            </w:pPr>
            <w:r>
              <w:rPr>
                <w:rFonts w:ascii="Arial" w:hAnsi="Arial" w:eastAsia="Arial"/>
                <w:color w:val="1F2937"/>
                <w:sz w:val="14"/>
              </w:rPr>
              <w:t>Inverses, transformations, systems. Watch: If det(A)=0, inverse does not exist.</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2×2 inverse</w:t>
            </w:r>
          </w:p>
        </w:tc>
        <w:tc>
          <w:tcPr>
            <w:tcW w:type="dxa" w:w="3600"/>
            <w:vAlign w:val="center"/>
            <w:shd w:fill="F8FAFC"/>
          </w:tcPr>
          <w:p>
            <w:pPr>
              <w:spacing w:before="0" w:after="20" w:line="240" w:lineRule="auto"/>
            </w:pPr>
            <w:r>
              <w:rPr>
                <w:rFonts w:ascii="Arial" w:hAnsi="Arial" w:eastAsia="Arial"/>
                <w:color w:val="1F2937"/>
                <w:sz w:val="14"/>
              </w:rPr>
              <w:t>A⁻¹ = 1/(ad−bc) [[d,−b],[−c,a]]</w:t>
            </w:r>
          </w:p>
        </w:tc>
        <w:tc>
          <w:tcPr>
            <w:tcW w:type="dxa" w:w="3600"/>
            <w:vAlign w:val="center"/>
            <w:shd w:fill="F8FAFC"/>
          </w:tcPr>
          <w:p>
            <w:pPr>
              <w:spacing w:before="0" w:after="20" w:line="240" w:lineRule="auto"/>
            </w:pPr>
            <w:r>
              <w:rPr>
                <w:rFonts w:ascii="Arial" w:hAnsi="Arial" w:eastAsia="Arial"/>
                <w:color w:val="1F2937"/>
                <w:sz w:val="14"/>
              </w:rPr>
              <w:t>Solving Ax = b and transformations. Watch: Order matters: matrix multiplication is not commutative.</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Eigen relation</w:t>
            </w:r>
          </w:p>
        </w:tc>
        <w:tc>
          <w:tcPr>
            <w:tcW w:type="dxa" w:w="3600"/>
            <w:vAlign w:val="center"/>
          </w:tcPr>
          <w:p>
            <w:pPr>
              <w:spacing w:before="0" w:after="20" w:line="240" w:lineRule="auto"/>
            </w:pPr>
            <w:r>
              <w:rPr>
                <w:rFonts w:ascii="Arial" w:hAnsi="Arial" w:eastAsia="Arial"/>
                <w:color w:val="1F2937"/>
                <w:sz w:val="14"/>
              </w:rPr>
              <w:t>Av = λv</w:t>
            </w:r>
          </w:p>
        </w:tc>
        <w:tc>
          <w:tcPr>
            <w:tcW w:type="dxa" w:w="3600"/>
            <w:vAlign w:val="center"/>
          </w:tcPr>
          <w:p>
            <w:pPr>
              <w:spacing w:before="0" w:after="20" w:line="240" w:lineRule="auto"/>
            </w:pPr>
            <w:r>
              <w:rPr>
                <w:rFonts w:ascii="Arial" w:hAnsi="Arial" w:eastAsia="Arial"/>
                <w:color w:val="1F2937"/>
                <w:sz w:val="14"/>
              </w:rPr>
              <w:t>Long-run systems, diagonalization, phase portraits. Watch: Eigenvector v must be non-zero.</w:t>
            </w:r>
          </w:p>
        </w:tc>
      </w:tr>
    </w:tbl>
    <w:p/>
    <w:p>
      <w:pPr>
        <w:pStyle w:val="Heading2"/>
        <w:spacing w:before="80" w:after="60" w:line="240" w:lineRule="auto"/>
      </w:pPr>
      <w:r>
        <w:t>Functions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Linear model</w:t>
            </w:r>
          </w:p>
        </w:tc>
        <w:tc>
          <w:tcPr>
            <w:tcW w:type="dxa" w:w="3600"/>
            <w:vAlign w:val="center"/>
          </w:tcPr>
          <w:p>
            <w:pPr>
              <w:spacing w:before="0" w:after="20" w:line="240" w:lineRule="auto"/>
            </w:pPr>
            <w:r>
              <w:rPr>
                <w:rFonts w:ascii="Arial" w:hAnsi="Arial" w:eastAsia="Arial"/>
                <w:color w:val="1F2937"/>
                <w:sz w:val="14"/>
              </w:rPr>
              <w:t>y = mx + c; m = Δy/Δx</w:t>
            </w:r>
          </w:p>
        </w:tc>
        <w:tc>
          <w:tcPr>
            <w:tcW w:type="dxa" w:w="3600"/>
            <w:vAlign w:val="center"/>
          </w:tcPr>
          <w:p>
            <w:pPr>
              <w:spacing w:before="0" w:after="20" w:line="240" w:lineRule="auto"/>
            </w:pPr>
            <w:r>
              <w:rPr>
                <w:rFonts w:ascii="Arial" w:hAnsi="Arial" w:eastAsia="Arial"/>
                <w:color w:val="1F2937"/>
                <w:sz w:val="14"/>
              </w:rPr>
              <w:t>Constant rate of change. Watch: Interpret slope with units.</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Quadratic model</w:t>
            </w:r>
          </w:p>
        </w:tc>
        <w:tc>
          <w:tcPr>
            <w:tcW w:type="dxa" w:w="3600"/>
            <w:vAlign w:val="center"/>
            <w:shd w:fill="F8FAFC"/>
          </w:tcPr>
          <w:p>
            <w:pPr>
              <w:spacing w:before="0" w:after="20" w:line="240" w:lineRule="auto"/>
            </w:pPr>
            <w:r>
              <w:rPr>
                <w:rFonts w:ascii="Arial" w:hAnsi="Arial" w:eastAsia="Arial"/>
                <w:color w:val="1F2937"/>
                <w:sz w:val="14"/>
              </w:rPr>
              <w:t>f(x)=ax²+bx+c; axis x = −b/(2a)</w:t>
            </w:r>
          </w:p>
        </w:tc>
        <w:tc>
          <w:tcPr>
            <w:tcW w:type="dxa" w:w="3600"/>
            <w:vAlign w:val="center"/>
            <w:shd w:fill="F8FAFC"/>
          </w:tcPr>
          <w:p>
            <w:pPr>
              <w:spacing w:before="0" w:after="20" w:line="240" w:lineRule="auto"/>
            </w:pPr>
            <w:r>
              <w:rPr>
                <w:rFonts w:ascii="Arial" w:hAnsi="Arial" w:eastAsia="Arial"/>
                <w:color w:val="1F2937"/>
                <w:sz w:val="14"/>
              </w:rPr>
              <w:t>Parabolic contexts and optimization by graph/technology. Watch: Vertex may need contextual rounding.</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Exponential model</w:t>
            </w:r>
          </w:p>
        </w:tc>
        <w:tc>
          <w:tcPr>
            <w:tcW w:type="dxa" w:w="3600"/>
            <w:vAlign w:val="center"/>
          </w:tcPr>
          <w:p>
            <w:pPr>
              <w:spacing w:before="0" w:after="20" w:line="240" w:lineRule="auto"/>
            </w:pPr>
            <w:r>
              <w:rPr>
                <w:rFonts w:ascii="Arial" w:hAnsi="Arial" w:eastAsia="Arial"/>
                <w:color w:val="1F2937"/>
                <w:sz w:val="14"/>
              </w:rPr>
              <w:t>f(x)=kaˣ + c or f(x)=keʳˣ + c</w:t>
            </w:r>
          </w:p>
        </w:tc>
        <w:tc>
          <w:tcPr>
            <w:tcW w:type="dxa" w:w="3600"/>
            <w:vAlign w:val="center"/>
          </w:tcPr>
          <w:p>
            <w:pPr>
              <w:spacing w:before="0" w:after="20" w:line="240" w:lineRule="auto"/>
            </w:pPr>
            <w:r>
              <w:rPr>
                <w:rFonts w:ascii="Arial" w:hAnsi="Arial" w:eastAsia="Arial"/>
                <w:color w:val="1F2937"/>
                <w:sz w:val="14"/>
              </w:rPr>
              <w:t>Growth/decay and asymptotes. Watch: c shifts horizontal asymptote.</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Logistic model</w:t>
            </w:r>
          </w:p>
        </w:tc>
        <w:tc>
          <w:tcPr>
            <w:tcW w:type="dxa" w:w="3600"/>
            <w:vAlign w:val="center"/>
            <w:shd w:fill="F8FAFC"/>
          </w:tcPr>
          <w:p>
            <w:pPr>
              <w:spacing w:before="0" w:after="20" w:line="240" w:lineRule="auto"/>
            </w:pPr>
            <w:r>
              <w:rPr>
                <w:rFonts w:ascii="Arial" w:hAnsi="Arial" w:eastAsia="Arial"/>
                <w:color w:val="1F2937"/>
                <w:sz w:val="14"/>
              </w:rPr>
              <w:t>f(x)= L/(1 + C e⁻ᵏˣ)</w:t>
            </w:r>
          </w:p>
        </w:tc>
        <w:tc>
          <w:tcPr>
            <w:tcW w:type="dxa" w:w="3600"/>
            <w:vAlign w:val="center"/>
            <w:shd w:fill="F8FAFC"/>
          </w:tcPr>
          <w:p>
            <w:pPr>
              <w:spacing w:before="0" w:after="20" w:line="240" w:lineRule="auto"/>
            </w:pPr>
            <w:r>
              <w:rPr>
                <w:rFonts w:ascii="Arial" w:hAnsi="Arial" w:eastAsia="Arial"/>
                <w:color w:val="1F2937"/>
                <w:sz w:val="14"/>
              </w:rPr>
              <w:t>Restricted growth with carrying capacity L. Watch: The upper horizontal asymptote is L.</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Transformations</w:t>
            </w:r>
          </w:p>
        </w:tc>
        <w:tc>
          <w:tcPr>
            <w:tcW w:type="dxa" w:w="3600"/>
            <w:vAlign w:val="center"/>
          </w:tcPr>
          <w:p>
            <w:pPr>
              <w:spacing w:before="0" w:after="20" w:line="240" w:lineRule="auto"/>
            </w:pPr>
            <w:r>
              <w:rPr>
                <w:rFonts w:ascii="Arial" w:hAnsi="Arial" w:eastAsia="Arial"/>
                <w:color w:val="1F2937"/>
                <w:sz w:val="14"/>
              </w:rPr>
              <w:t>y = p f(q(x − a)) + b</w:t>
            </w:r>
          </w:p>
        </w:tc>
        <w:tc>
          <w:tcPr>
            <w:tcW w:type="dxa" w:w="3600"/>
            <w:vAlign w:val="center"/>
          </w:tcPr>
          <w:p>
            <w:pPr>
              <w:spacing w:before="0" w:after="20" w:line="240" w:lineRule="auto"/>
            </w:pPr>
            <w:r>
              <w:rPr>
                <w:rFonts w:ascii="Arial" w:hAnsi="Arial" w:eastAsia="Arial"/>
                <w:color w:val="1F2937"/>
                <w:sz w:val="14"/>
              </w:rPr>
              <w:t>Graph shifts, stretches, reflections, model fitting. Watch: Horizontal scale factor is 1/q; order matters.</w:t>
            </w:r>
          </w:p>
        </w:tc>
      </w:tr>
      <w:tr>
        <w:tc>
          <w:tcPr>
            <w:tcW w:type="dxa" w:w="864"/>
            <w:vAlign w:val="center"/>
            <w:shd w:fill="F8FAFC"/>
          </w:tcPr>
          <w:p>
            <w:pPr>
              <w:spacing w:before="0" w:after="20" w:line="240" w:lineRule="auto"/>
            </w:pPr>
            <w:r>
              <w:rPr>
                <w:rFonts w:ascii="Arial" w:hAnsi="Arial" w:eastAsia="Arial"/>
                <w:color w:val="1F2937"/>
                <w:sz w:val="14"/>
              </w:rPr>
              <w:t>SL/HL</w:t>
            </w:r>
          </w:p>
        </w:tc>
        <w:tc>
          <w:tcPr>
            <w:tcW w:type="dxa" w:w="2160"/>
            <w:vAlign w:val="center"/>
            <w:shd w:fill="F8FAFC"/>
          </w:tcPr>
          <w:p>
            <w:pPr>
              <w:spacing w:before="0" w:after="20" w:line="240" w:lineRule="auto"/>
            </w:pPr>
            <w:r>
              <w:rPr>
                <w:rFonts w:ascii="Arial" w:hAnsi="Arial" w:eastAsia="Arial"/>
                <w:color w:val="1F2937"/>
                <w:sz w:val="14"/>
              </w:rPr>
              <w:t>Sinusoidal model</w:t>
            </w:r>
          </w:p>
        </w:tc>
        <w:tc>
          <w:tcPr>
            <w:tcW w:type="dxa" w:w="3600"/>
            <w:vAlign w:val="center"/>
            <w:shd w:fill="F8FAFC"/>
          </w:tcPr>
          <w:p>
            <w:pPr>
              <w:spacing w:before="0" w:after="20" w:line="240" w:lineRule="auto"/>
            </w:pPr>
            <w:r>
              <w:rPr>
                <w:rFonts w:ascii="Arial" w:hAnsi="Arial" w:eastAsia="Arial"/>
                <w:color w:val="1F2937"/>
                <w:sz w:val="14"/>
              </w:rPr>
              <w:t>y = a sin(b(x − c)) + d; period = 2π/|b| in radians or 360°/|b| in degrees</w:t>
            </w:r>
          </w:p>
        </w:tc>
        <w:tc>
          <w:tcPr>
            <w:tcW w:type="dxa" w:w="3600"/>
            <w:vAlign w:val="center"/>
            <w:shd w:fill="F8FAFC"/>
          </w:tcPr>
          <w:p>
            <w:pPr>
              <w:spacing w:before="0" w:after="20" w:line="240" w:lineRule="auto"/>
            </w:pPr>
            <w:r>
              <w:rPr>
                <w:rFonts w:ascii="Arial" w:hAnsi="Arial" w:eastAsia="Arial"/>
                <w:color w:val="1F2937"/>
                <w:sz w:val="14"/>
              </w:rPr>
              <w:t>Periodic contexts: tides, seasons, wheels. Watch: Know calculator angle mode.</w:t>
            </w:r>
          </w:p>
        </w:tc>
      </w:tr>
    </w:tbl>
    <w:p/>
    <w:p>
      <w:pPr>
        <w:pStyle w:val="Heading2"/>
        <w:spacing w:before="80" w:after="60" w:line="240" w:lineRule="auto"/>
      </w:pPr>
      <w:r>
        <w:t>Coordinate geometry</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Distance</w:t>
            </w:r>
          </w:p>
        </w:tc>
        <w:tc>
          <w:tcPr>
            <w:tcW w:type="dxa" w:w="3600"/>
            <w:vAlign w:val="center"/>
          </w:tcPr>
          <w:p>
            <w:pPr>
              <w:spacing w:before="0" w:after="20" w:line="240" w:lineRule="auto"/>
            </w:pPr>
            <w:r>
              <w:rPr>
                <w:rFonts w:ascii="Arial" w:hAnsi="Arial" w:eastAsia="Arial"/>
                <w:color w:val="1F2937"/>
                <w:sz w:val="14"/>
              </w:rPr>
              <w:t>d = √[(x₂−x₁)² + (y₂−y₁)²]</w:t>
            </w:r>
          </w:p>
        </w:tc>
        <w:tc>
          <w:tcPr>
            <w:tcW w:type="dxa" w:w="3600"/>
            <w:vAlign w:val="center"/>
          </w:tcPr>
          <w:p>
            <w:pPr>
              <w:spacing w:before="0" w:after="20" w:line="240" w:lineRule="auto"/>
            </w:pPr>
            <w:r>
              <w:rPr>
                <w:rFonts w:ascii="Arial" w:hAnsi="Arial" w:eastAsia="Arial"/>
                <w:color w:val="1F2937"/>
                <w:sz w:val="14"/>
              </w:rPr>
              <w:t>Coordinate-plane lengths. Watch: Square both differences before adding.</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Midpoint</w:t>
            </w:r>
          </w:p>
        </w:tc>
        <w:tc>
          <w:tcPr>
            <w:tcW w:type="dxa" w:w="3600"/>
            <w:vAlign w:val="center"/>
            <w:shd w:fill="F8FAFC"/>
          </w:tcPr>
          <w:p>
            <w:pPr>
              <w:spacing w:before="0" w:after="20" w:line="240" w:lineRule="auto"/>
            </w:pPr>
            <w:r>
              <w:rPr>
                <w:rFonts w:ascii="Arial" w:hAnsi="Arial" w:eastAsia="Arial"/>
                <w:color w:val="1F2937"/>
                <w:sz w:val="14"/>
              </w:rPr>
              <w:t>M = ((x₁+x₂)/2, (y₁+y₂)/2)</w:t>
            </w:r>
          </w:p>
        </w:tc>
        <w:tc>
          <w:tcPr>
            <w:tcW w:type="dxa" w:w="3600"/>
            <w:vAlign w:val="center"/>
            <w:shd w:fill="F8FAFC"/>
          </w:tcPr>
          <w:p>
            <w:pPr>
              <w:spacing w:before="0" w:after="20" w:line="240" w:lineRule="auto"/>
            </w:pPr>
            <w:r>
              <w:rPr>
                <w:rFonts w:ascii="Arial" w:hAnsi="Arial" w:eastAsia="Arial"/>
                <w:color w:val="1F2937"/>
                <w:sz w:val="14"/>
              </w:rPr>
              <w:t>Segment midpoints and centres. Watch: Average x and y separately.</w:t>
            </w:r>
          </w:p>
        </w:tc>
      </w:tr>
    </w:tbl>
    <w:p/>
    <w:p>
      <w:pPr>
        <w:pStyle w:val="Heading2"/>
        <w:spacing w:before="80" w:after="60" w:line="240" w:lineRule="auto"/>
      </w:pPr>
      <w:r>
        <w:t>Trigonometry</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Sine rule</w:t>
            </w:r>
          </w:p>
        </w:tc>
        <w:tc>
          <w:tcPr>
            <w:tcW w:type="dxa" w:w="3600"/>
            <w:vAlign w:val="center"/>
          </w:tcPr>
          <w:p>
            <w:pPr>
              <w:spacing w:before="0" w:after="20" w:line="240" w:lineRule="auto"/>
            </w:pPr>
            <w:r>
              <w:rPr>
                <w:rFonts w:ascii="Arial" w:hAnsi="Arial" w:eastAsia="Arial"/>
                <w:color w:val="1F2937"/>
                <w:sz w:val="14"/>
              </w:rPr>
              <w:t>a/sin A = b/sin B = c/sin C</w:t>
            </w:r>
          </w:p>
        </w:tc>
        <w:tc>
          <w:tcPr>
            <w:tcW w:type="dxa" w:w="3600"/>
            <w:vAlign w:val="center"/>
          </w:tcPr>
          <w:p>
            <w:pPr>
              <w:spacing w:before="0" w:after="20" w:line="240" w:lineRule="auto"/>
            </w:pPr>
            <w:r>
              <w:rPr>
                <w:rFonts w:ascii="Arial" w:hAnsi="Arial" w:eastAsia="Arial"/>
                <w:color w:val="1F2937"/>
                <w:sz w:val="14"/>
              </w:rPr>
              <w:t>Non-right triangles with side-angle pairs. Watch: Ambiguous case is HL depth in current guide.</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Cosine rule</w:t>
            </w:r>
          </w:p>
        </w:tc>
        <w:tc>
          <w:tcPr>
            <w:tcW w:type="dxa" w:w="3600"/>
            <w:vAlign w:val="center"/>
            <w:shd w:fill="F8FAFC"/>
          </w:tcPr>
          <w:p>
            <w:pPr>
              <w:spacing w:before="0" w:after="20" w:line="240" w:lineRule="auto"/>
            </w:pPr>
            <w:r>
              <w:rPr>
                <w:rFonts w:ascii="Arial" w:hAnsi="Arial" w:eastAsia="Arial"/>
                <w:color w:val="1F2937"/>
                <w:sz w:val="14"/>
              </w:rPr>
              <w:t>c² = a² + b² − 2ab cos C</w:t>
            </w:r>
          </w:p>
        </w:tc>
        <w:tc>
          <w:tcPr>
            <w:tcW w:type="dxa" w:w="3600"/>
            <w:vAlign w:val="center"/>
            <w:shd w:fill="F8FAFC"/>
          </w:tcPr>
          <w:p>
            <w:pPr>
              <w:spacing w:before="0" w:after="20" w:line="240" w:lineRule="auto"/>
            </w:pPr>
            <w:r>
              <w:rPr>
                <w:rFonts w:ascii="Arial" w:hAnsi="Arial" w:eastAsia="Arial"/>
                <w:color w:val="1F2937"/>
                <w:sz w:val="14"/>
              </w:rPr>
              <w:t>Non-right triangles with SAS or SSS. Watch: C is included angle between a and b.</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Triangle area</w:t>
            </w:r>
          </w:p>
        </w:tc>
        <w:tc>
          <w:tcPr>
            <w:tcW w:type="dxa" w:w="3600"/>
            <w:vAlign w:val="center"/>
          </w:tcPr>
          <w:p>
            <w:pPr>
              <w:spacing w:before="0" w:after="20" w:line="240" w:lineRule="auto"/>
            </w:pPr>
            <w:r>
              <w:rPr>
                <w:rFonts w:ascii="Arial" w:hAnsi="Arial" w:eastAsia="Arial"/>
                <w:color w:val="1F2937"/>
                <w:sz w:val="14"/>
              </w:rPr>
              <w:t>Area = 1/2 ab sin C</w:t>
            </w:r>
          </w:p>
        </w:tc>
        <w:tc>
          <w:tcPr>
            <w:tcW w:type="dxa" w:w="3600"/>
            <w:vAlign w:val="center"/>
          </w:tcPr>
          <w:p>
            <w:pPr>
              <w:spacing w:before="0" w:after="20" w:line="240" w:lineRule="auto"/>
            </w:pPr>
            <w:r>
              <w:rPr>
                <w:rFonts w:ascii="Arial" w:hAnsi="Arial" w:eastAsia="Arial"/>
                <w:color w:val="1F2937"/>
                <w:sz w:val="14"/>
              </w:rPr>
              <w:t>Area with two sides and included angle. Watch: Use included angle.</w:t>
            </w:r>
          </w:p>
        </w:tc>
      </w:tr>
    </w:tbl>
    <w:p/>
    <w:p>
      <w:pPr>
        <w:pStyle w:val="Heading2"/>
        <w:spacing w:before="80" w:after="60" w:line="240" w:lineRule="auto"/>
      </w:pPr>
      <w:r>
        <w:t>Circles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SL/HL</w:t>
            </w:r>
          </w:p>
        </w:tc>
        <w:tc>
          <w:tcPr>
            <w:tcW w:type="dxa" w:w="2160"/>
            <w:vAlign w:val="center"/>
          </w:tcPr>
          <w:p>
            <w:pPr>
              <w:spacing w:before="0" w:after="20" w:line="240" w:lineRule="auto"/>
            </w:pPr>
            <w:r>
              <w:rPr>
                <w:rFonts w:ascii="Arial" w:hAnsi="Arial" w:eastAsia="Arial"/>
                <w:color w:val="1F2937"/>
                <w:sz w:val="14"/>
              </w:rPr>
              <w:t>Circle measures</w:t>
            </w:r>
          </w:p>
        </w:tc>
        <w:tc>
          <w:tcPr>
            <w:tcW w:type="dxa" w:w="3600"/>
            <w:vAlign w:val="center"/>
          </w:tcPr>
          <w:p>
            <w:pPr>
              <w:spacing w:before="0" w:after="20" w:line="240" w:lineRule="auto"/>
            </w:pPr>
            <w:r>
              <w:rPr>
                <w:rFonts w:ascii="Arial" w:hAnsi="Arial" w:eastAsia="Arial"/>
                <w:color w:val="1F2937"/>
                <w:sz w:val="14"/>
              </w:rPr>
              <w:t>Circumference C=2πr; Area A=πr²</w:t>
            </w:r>
          </w:p>
        </w:tc>
        <w:tc>
          <w:tcPr>
            <w:tcW w:type="dxa" w:w="3600"/>
            <w:vAlign w:val="center"/>
          </w:tcPr>
          <w:p>
            <w:pPr>
              <w:spacing w:before="0" w:after="20" w:line="240" w:lineRule="auto"/>
            </w:pPr>
            <w:r>
              <w:rPr>
                <w:rFonts w:ascii="Arial" w:hAnsi="Arial" w:eastAsia="Arial"/>
                <w:color w:val="1F2937"/>
                <w:sz w:val="14"/>
              </w:rPr>
              <w:t>Circle basics. Watch: Use radius, not diameter.</w:t>
            </w:r>
          </w:p>
        </w:tc>
      </w:tr>
    </w:tbl>
    <w:p/>
    <w:p>
      <w:pPr>
        <w:pStyle w:val="Heading2"/>
        <w:spacing w:before="80" w:after="60" w:line="240" w:lineRule="auto"/>
      </w:pPr>
      <w:r>
        <w:t>Radians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Arc and sector</w:t>
            </w:r>
          </w:p>
        </w:tc>
        <w:tc>
          <w:tcPr>
            <w:tcW w:type="dxa" w:w="3600"/>
            <w:vAlign w:val="center"/>
          </w:tcPr>
          <w:p>
            <w:pPr>
              <w:spacing w:before="0" w:after="20" w:line="240" w:lineRule="auto"/>
            </w:pPr>
            <w:r>
              <w:rPr>
                <w:rFonts w:ascii="Arial" w:hAnsi="Arial" w:eastAsia="Arial"/>
                <w:color w:val="1F2937"/>
                <w:sz w:val="14"/>
              </w:rPr>
              <w:t>arc length s = rθ; sector area A = 1/2 r²θ, θ in radians</w:t>
            </w:r>
          </w:p>
        </w:tc>
        <w:tc>
          <w:tcPr>
            <w:tcW w:type="dxa" w:w="3600"/>
            <w:vAlign w:val="center"/>
          </w:tcPr>
          <w:p>
            <w:pPr>
              <w:spacing w:before="0" w:after="20" w:line="240" w:lineRule="auto"/>
            </w:pPr>
            <w:r>
              <w:rPr>
                <w:rFonts w:ascii="Arial" w:hAnsi="Arial" w:eastAsia="Arial"/>
                <w:color w:val="1F2937"/>
                <w:sz w:val="14"/>
              </w:rPr>
              <w:t>Radians, circular motion, sectors. Watch: Only valid when θ is in radians.</w:t>
            </w:r>
          </w:p>
        </w:tc>
      </w:tr>
    </w:tbl>
    <w:p/>
    <w:p>
      <w:pPr>
        <w:pStyle w:val="Heading2"/>
        <w:spacing w:before="80" w:after="60" w:line="240" w:lineRule="auto"/>
      </w:pPr>
      <w:r>
        <w:t>Vectors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Vector magnitude</w:t>
            </w:r>
          </w:p>
        </w:tc>
        <w:tc>
          <w:tcPr>
            <w:tcW w:type="dxa" w:w="3600"/>
            <w:vAlign w:val="center"/>
          </w:tcPr>
          <w:p>
            <w:pPr>
              <w:spacing w:before="0" w:after="20" w:line="240" w:lineRule="auto"/>
            </w:pPr>
            <w:r>
              <w:rPr>
                <w:rFonts w:ascii="Arial" w:hAnsi="Arial" w:eastAsia="Arial"/>
                <w:color w:val="1F2937"/>
                <w:sz w:val="14"/>
              </w:rPr>
              <w:t>|v| = √(v₁²+v₂²+v₃²)</w:t>
            </w:r>
          </w:p>
        </w:tc>
        <w:tc>
          <w:tcPr>
            <w:tcW w:type="dxa" w:w="3600"/>
            <w:vAlign w:val="center"/>
          </w:tcPr>
          <w:p>
            <w:pPr>
              <w:spacing w:before="0" w:after="20" w:line="240" w:lineRule="auto"/>
            </w:pPr>
            <w:r>
              <w:rPr>
                <w:rFonts w:ascii="Arial" w:hAnsi="Arial" w:eastAsia="Arial"/>
                <w:color w:val="1F2937"/>
                <w:sz w:val="14"/>
              </w:rPr>
              <w:t>Displacement, velocity, 3D geometry. Watch: Keep components in same units.</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Scalar product</w:t>
            </w:r>
          </w:p>
        </w:tc>
        <w:tc>
          <w:tcPr>
            <w:tcW w:type="dxa" w:w="3600"/>
            <w:vAlign w:val="center"/>
            <w:shd w:fill="F8FAFC"/>
          </w:tcPr>
          <w:p>
            <w:pPr>
              <w:spacing w:before="0" w:after="20" w:line="240" w:lineRule="auto"/>
            </w:pPr>
            <w:r>
              <w:rPr>
                <w:rFonts w:ascii="Arial" w:hAnsi="Arial" w:eastAsia="Arial"/>
                <w:color w:val="1F2937"/>
                <w:sz w:val="14"/>
              </w:rPr>
              <w:t>v·w = |v||w|cos θ = v₁w₁+v₂w₂+v₃w₃</w:t>
            </w:r>
          </w:p>
        </w:tc>
        <w:tc>
          <w:tcPr>
            <w:tcW w:type="dxa" w:w="3600"/>
            <w:vAlign w:val="center"/>
            <w:shd w:fill="F8FAFC"/>
          </w:tcPr>
          <w:p>
            <w:pPr>
              <w:spacing w:before="0" w:after="20" w:line="240" w:lineRule="auto"/>
            </w:pPr>
            <w:r>
              <w:rPr>
                <w:rFonts w:ascii="Arial" w:hAnsi="Arial" w:eastAsia="Arial"/>
                <w:color w:val="1F2937"/>
                <w:sz w:val="14"/>
              </w:rPr>
              <w:t>Angles, projections, perpendicularity. Watch: v·w = 0 means perpendicular if non-zero.</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Line vector equation</w:t>
            </w:r>
          </w:p>
        </w:tc>
        <w:tc>
          <w:tcPr>
            <w:tcW w:type="dxa" w:w="3600"/>
            <w:vAlign w:val="center"/>
          </w:tcPr>
          <w:p>
            <w:pPr>
              <w:spacing w:before="0" w:after="20" w:line="240" w:lineRule="auto"/>
            </w:pPr>
            <w:r>
              <w:rPr>
                <w:rFonts w:ascii="Arial" w:hAnsi="Arial" w:eastAsia="Arial"/>
                <w:color w:val="1F2937"/>
                <w:sz w:val="14"/>
              </w:rPr>
              <w:t>r = a + λb</w:t>
            </w:r>
          </w:p>
        </w:tc>
        <w:tc>
          <w:tcPr>
            <w:tcW w:type="dxa" w:w="3600"/>
            <w:vAlign w:val="center"/>
          </w:tcPr>
          <w:p>
            <w:pPr>
              <w:spacing w:before="0" w:after="20" w:line="240" w:lineRule="auto"/>
            </w:pPr>
            <w:r>
              <w:rPr>
                <w:rFonts w:ascii="Arial" w:hAnsi="Arial" w:eastAsia="Arial"/>
                <w:color w:val="1F2937"/>
                <w:sz w:val="14"/>
              </w:rPr>
              <w:t>Lines in 2D/3D and kinematics. Watch: b is a direction vector, not a point.</w:t>
            </w:r>
          </w:p>
        </w:tc>
      </w:tr>
    </w:tbl>
    <w:p/>
    <w:p>
      <w:pPr>
        <w:pStyle w:val="Heading2"/>
        <w:spacing w:before="80" w:after="60" w:line="240" w:lineRule="auto"/>
      </w:pPr>
      <w:r>
        <w:t>Graph theory</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Handshake lemma</w:t>
            </w:r>
          </w:p>
        </w:tc>
        <w:tc>
          <w:tcPr>
            <w:tcW w:type="dxa" w:w="3600"/>
            <w:vAlign w:val="center"/>
          </w:tcPr>
          <w:p>
            <w:pPr>
              <w:spacing w:before="0" w:after="20" w:line="240" w:lineRule="auto"/>
            </w:pPr>
            <w:r>
              <w:rPr>
                <w:rFonts w:ascii="Arial" w:hAnsi="Arial" w:eastAsia="Arial"/>
                <w:color w:val="1F2937"/>
                <w:sz w:val="14"/>
              </w:rPr>
              <w:t>Σ degrees = 2E</w:t>
            </w:r>
          </w:p>
        </w:tc>
        <w:tc>
          <w:tcPr>
            <w:tcW w:type="dxa" w:w="3600"/>
            <w:vAlign w:val="center"/>
          </w:tcPr>
          <w:p>
            <w:pPr>
              <w:spacing w:before="0" w:after="20" w:line="240" w:lineRule="auto"/>
            </w:pPr>
            <w:r>
              <w:rPr>
                <w:rFonts w:ascii="Arial" w:hAnsi="Arial" w:eastAsia="Arial"/>
                <w:color w:val="1F2937"/>
                <w:sz w:val="14"/>
              </w:rPr>
              <w:t>Checking graph consistency. Watch: Each edge contributes two degrees.</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Adjacency matrix powers</w:t>
            </w:r>
          </w:p>
        </w:tc>
        <w:tc>
          <w:tcPr>
            <w:tcW w:type="dxa" w:w="3600"/>
            <w:vAlign w:val="center"/>
            <w:shd w:fill="F8FAFC"/>
          </w:tcPr>
          <w:p>
            <w:pPr>
              <w:spacing w:before="0" w:after="20" w:line="240" w:lineRule="auto"/>
            </w:pPr>
            <w:r>
              <w:rPr>
                <w:rFonts w:ascii="Arial" w:hAnsi="Arial" w:eastAsia="Arial"/>
                <w:color w:val="1F2937"/>
                <w:sz w:val="14"/>
              </w:rPr>
              <w:t>(Aᵏ)ᵢⱼ gives the number of k-step walks from i to j</w:t>
            </w:r>
          </w:p>
        </w:tc>
        <w:tc>
          <w:tcPr>
            <w:tcW w:type="dxa" w:w="3600"/>
            <w:vAlign w:val="center"/>
            <w:shd w:fill="F8FAFC"/>
          </w:tcPr>
          <w:p>
            <w:pPr>
              <w:spacing w:before="0" w:after="20" w:line="240" w:lineRule="auto"/>
            </w:pPr>
            <w:r>
              <w:rPr>
                <w:rFonts w:ascii="Arial" w:hAnsi="Arial" w:eastAsia="Arial"/>
                <w:color w:val="1F2937"/>
                <w:sz w:val="14"/>
              </w:rPr>
              <w:t>Walk counting and networks. Watch: Use matrix powers for exact walk length k.</w:t>
            </w:r>
          </w:p>
        </w:tc>
      </w:tr>
    </w:tbl>
    <w:p/>
    <w:p>
      <w:pPr>
        <w:pStyle w:val="Heading2"/>
        <w:spacing w:before="80" w:after="60" w:line="240" w:lineRule="auto"/>
      </w:pPr>
      <w:r>
        <w:t>Probability</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Addition rule</w:t>
            </w:r>
          </w:p>
        </w:tc>
        <w:tc>
          <w:tcPr>
            <w:tcW w:type="dxa" w:w="3600"/>
            <w:vAlign w:val="center"/>
          </w:tcPr>
          <w:p>
            <w:pPr>
              <w:spacing w:before="0" w:after="20" w:line="240" w:lineRule="auto"/>
            </w:pPr>
            <w:r>
              <w:rPr>
                <w:rFonts w:ascii="Arial" w:hAnsi="Arial" w:eastAsia="Arial"/>
                <w:color w:val="1F2937"/>
                <w:sz w:val="14"/>
              </w:rPr>
              <w:t>P(A ∪ B) = P(A) + P(B) − P(A ∩ B)</w:t>
            </w:r>
          </w:p>
        </w:tc>
        <w:tc>
          <w:tcPr>
            <w:tcW w:type="dxa" w:w="3600"/>
            <w:vAlign w:val="center"/>
          </w:tcPr>
          <w:p>
            <w:pPr>
              <w:spacing w:before="0" w:after="20" w:line="240" w:lineRule="auto"/>
            </w:pPr>
            <w:r>
              <w:rPr>
                <w:rFonts w:ascii="Arial" w:hAnsi="Arial" w:eastAsia="Arial"/>
                <w:color w:val="1F2937"/>
                <w:sz w:val="14"/>
              </w:rPr>
              <w:t>Combined events. Watch: Subtract overlap once.</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Conditional probability</w:t>
            </w:r>
          </w:p>
        </w:tc>
        <w:tc>
          <w:tcPr>
            <w:tcW w:type="dxa" w:w="3600"/>
            <w:vAlign w:val="center"/>
            <w:shd w:fill="F8FAFC"/>
          </w:tcPr>
          <w:p>
            <w:pPr>
              <w:spacing w:before="0" w:after="20" w:line="240" w:lineRule="auto"/>
            </w:pPr>
            <w:r>
              <w:rPr>
                <w:rFonts w:ascii="Arial" w:hAnsi="Arial" w:eastAsia="Arial"/>
                <w:color w:val="1F2937"/>
                <w:sz w:val="14"/>
              </w:rPr>
              <w:t>P(A|B) = P(A ∩ B)/P(B)</w:t>
            </w:r>
          </w:p>
        </w:tc>
        <w:tc>
          <w:tcPr>
            <w:tcW w:type="dxa" w:w="3600"/>
            <w:vAlign w:val="center"/>
            <w:shd w:fill="F8FAFC"/>
          </w:tcPr>
          <w:p>
            <w:pPr>
              <w:spacing w:before="0" w:after="20" w:line="240" w:lineRule="auto"/>
            </w:pPr>
            <w:r>
              <w:rPr>
                <w:rFonts w:ascii="Arial" w:hAnsi="Arial" w:eastAsia="Arial"/>
                <w:color w:val="1F2937"/>
                <w:sz w:val="14"/>
              </w:rPr>
              <w:t>Dependent events and tests. Watch: Condition on B means denominator is P(B).</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Independence</w:t>
            </w:r>
          </w:p>
        </w:tc>
        <w:tc>
          <w:tcPr>
            <w:tcW w:type="dxa" w:w="3600"/>
            <w:vAlign w:val="center"/>
          </w:tcPr>
          <w:p>
            <w:pPr>
              <w:spacing w:before="0" w:after="20" w:line="240" w:lineRule="auto"/>
            </w:pPr>
            <w:r>
              <w:rPr>
                <w:rFonts w:ascii="Arial" w:hAnsi="Arial" w:eastAsia="Arial"/>
                <w:color w:val="1F2937"/>
                <w:sz w:val="14"/>
              </w:rPr>
              <w:t>A and B independent ⇔ P(A ∩ B)=P(A)P(B)</w:t>
            </w:r>
          </w:p>
        </w:tc>
        <w:tc>
          <w:tcPr>
            <w:tcW w:type="dxa" w:w="3600"/>
            <w:vAlign w:val="center"/>
          </w:tcPr>
          <w:p>
            <w:pPr>
              <w:spacing w:before="0" w:after="20" w:line="240" w:lineRule="auto"/>
            </w:pPr>
            <w:r>
              <w:rPr>
                <w:rFonts w:ascii="Arial" w:hAnsi="Arial" w:eastAsia="Arial"/>
                <w:color w:val="1F2937"/>
                <w:sz w:val="14"/>
              </w:rPr>
              <w:t>Checking independence. Watch: Independence is not the same as mutually exclusive.</w:t>
            </w:r>
          </w:p>
        </w:tc>
      </w:tr>
    </w:tbl>
    <w:p/>
    <w:p>
      <w:pPr>
        <w:pStyle w:val="Heading2"/>
        <w:spacing w:before="80" w:after="60" w:line="240" w:lineRule="auto"/>
      </w:pPr>
      <w:r>
        <w:t>Statistics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Mean</w:t>
            </w:r>
          </w:p>
        </w:tc>
        <w:tc>
          <w:tcPr>
            <w:tcW w:type="dxa" w:w="3600"/>
            <w:vAlign w:val="center"/>
          </w:tcPr>
          <w:p>
            <w:pPr>
              <w:spacing w:before="0" w:after="20" w:line="240" w:lineRule="auto"/>
            </w:pPr>
            <w:r>
              <w:rPr>
                <w:rFonts w:ascii="Arial" w:hAnsi="Arial" w:eastAsia="Arial"/>
                <w:color w:val="1F2937"/>
                <w:sz w:val="14"/>
              </w:rPr>
              <w:t>x̄ = (Σx)/n; weighted mean = (Σfx)/(Σf)</w:t>
            </w:r>
          </w:p>
        </w:tc>
        <w:tc>
          <w:tcPr>
            <w:tcW w:type="dxa" w:w="3600"/>
            <w:vAlign w:val="center"/>
          </w:tcPr>
          <w:p>
            <w:pPr>
              <w:spacing w:before="0" w:after="20" w:line="240" w:lineRule="auto"/>
            </w:pPr>
            <w:r>
              <w:rPr>
                <w:rFonts w:ascii="Arial" w:hAnsi="Arial" w:eastAsia="Arial"/>
                <w:color w:val="1F2937"/>
                <w:sz w:val="14"/>
              </w:rPr>
              <w:t>Centre of data. Watch: Do not average averages unless weights equal.</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Standard deviation idea</w:t>
            </w:r>
          </w:p>
        </w:tc>
        <w:tc>
          <w:tcPr>
            <w:tcW w:type="dxa" w:w="3600"/>
            <w:vAlign w:val="center"/>
            <w:shd w:fill="F8FAFC"/>
          </w:tcPr>
          <w:p>
            <w:pPr>
              <w:spacing w:before="0" w:after="20" w:line="240" w:lineRule="auto"/>
            </w:pPr>
            <w:r>
              <w:rPr>
                <w:rFonts w:ascii="Arial" w:hAnsi="Arial" w:eastAsia="Arial"/>
                <w:color w:val="1F2937"/>
                <w:sz w:val="14"/>
              </w:rPr>
              <w:t>σ = √[Σ(x−μ)²/n] or use technology as directed</w:t>
            </w:r>
          </w:p>
        </w:tc>
        <w:tc>
          <w:tcPr>
            <w:tcW w:type="dxa" w:w="3600"/>
            <w:vAlign w:val="center"/>
            <w:shd w:fill="F8FAFC"/>
          </w:tcPr>
          <w:p>
            <w:pPr>
              <w:spacing w:before="0" w:after="20" w:line="240" w:lineRule="auto"/>
            </w:pPr>
            <w:r>
              <w:rPr>
                <w:rFonts w:ascii="Arial" w:hAnsi="Arial" w:eastAsia="Arial"/>
                <w:color w:val="1F2937"/>
                <w:sz w:val="14"/>
              </w:rPr>
              <w:t>Spread of data. Watch: Identify sample vs population output.</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z-score</w:t>
            </w:r>
          </w:p>
        </w:tc>
        <w:tc>
          <w:tcPr>
            <w:tcW w:type="dxa" w:w="3600"/>
            <w:vAlign w:val="center"/>
          </w:tcPr>
          <w:p>
            <w:pPr>
              <w:spacing w:before="0" w:after="20" w:line="240" w:lineRule="auto"/>
            </w:pPr>
            <w:r>
              <w:rPr>
                <w:rFonts w:ascii="Arial" w:hAnsi="Arial" w:eastAsia="Arial"/>
                <w:color w:val="1F2937"/>
                <w:sz w:val="14"/>
              </w:rPr>
              <w:t>z = (x − μ)/σ</w:t>
            </w:r>
          </w:p>
        </w:tc>
        <w:tc>
          <w:tcPr>
            <w:tcW w:type="dxa" w:w="3600"/>
            <w:vAlign w:val="center"/>
          </w:tcPr>
          <w:p>
            <w:pPr>
              <w:spacing w:before="0" w:after="20" w:line="240" w:lineRule="auto"/>
            </w:pPr>
            <w:r>
              <w:rPr>
                <w:rFonts w:ascii="Arial" w:hAnsi="Arial" w:eastAsia="Arial"/>
                <w:color w:val="1F2937"/>
                <w:sz w:val="14"/>
              </w:rPr>
              <w:t>Standardizing normal data. Watch: Use population mean/SD for normal model.</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Regression residual</w:t>
            </w:r>
          </w:p>
        </w:tc>
        <w:tc>
          <w:tcPr>
            <w:tcW w:type="dxa" w:w="3600"/>
            <w:vAlign w:val="center"/>
            <w:shd w:fill="F8FAFC"/>
          </w:tcPr>
          <w:p>
            <w:pPr>
              <w:spacing w:before="0" w:after="20" w:line="240" w:lineRule="auto"/>
            </w:pPr>
            <w:r>
              <w:rPr>
                <w:rFonts w:ascii="Arial" w:hAnsi="Arial" w:eastAsia="Arial"/>
                <w:color w:val="1F2937"/>
                <w:sz w:val="14"/>
              </w:rPr>
              <w:t>residual = observed y − predicted y</w:t>
            </w:r>
          </w:p>
        </w:tc>
        <w:tc>
          <w:tcPr>
            <w:tcW w:type="dxa" w:w="3600"/>
            <w:vAlign w:val="center"/>
            <w:shd w:fill="F8FAFC"/>
          </w:tcPr>
          <w:p>
            <w:pPr>
              <w:spacing w:before="0" w:after="20" w:line="240" w:lineRule="auto"/>
            </w:pPr>
            <w:r>
              <w:rPr>
                <w:rFonts w:ascii="Arial" w:hAnsi="Arial" w:eastAsia="Arial"/>
                <w:color w:val="1F2937"/>
                <w:sz w:val="14"/>
              </w:rPr>
              <w:t>Assessing model fit. Watch: Residual sign matters.</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Coefficient of determination</w:t>
            </w:r>
          </w:p>
        </w:tc>
        <w:tc>
          <w:tcPr>
            <w:tcW w:type="dxa" w:w="3600"/>
            <w:vAlign w:val="center"/>
          </w:tcPr>
          <w:p>
            <w:pPr>
              <w:spacing w:before="0" w:after="20" w:line="240" w:lineRule="auto"/>
            </w:pPr>
            <w:r>
              <w:rPr>
                <w:rFonts w:ascii="Arial" w:hAnsi="Arial" w:eastAsia="Arial"/>
                <w:color w:val="1F2937"/>
                <w:sz w:val="14"/>
              </w:rPr>
              <w:t>R² = 1 − SSres/SStot</w:t>
            </w:r>
          </w:p>
        </w:tc>
        <w:tc>
          <w:tcPr>
            <w:tcW w:type="dxa" w:w="3600"/>
            <w:vAlign w:val="center"/>
          </w:tcPr>
          <w:p>
            <w:pPr>
              <w:spacing w:before="0" w:after="20" w:line="240" w:lineRule="auto"/>
            </w:pPr>
            <w:r>
              <w:rPr>
                <w:rFonts w:ascii="Arial" w:hAnsi="Arial" w:eastAsia="Arial"/>
                <w:color w:val="1F2937"/>
                <w:sz w:val="14"/>
              </w:rPr>
              <w:t>Proportion of variability explained by a model. Watch: High R² does not prove causation or suitability.</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Binomial distribution</w:t>
            </w:r>
          </w:p>
        </w:tc>
        <w:tc>
          <w:tcPr>
            <w:tcW w:type="dxa" w:w="3600"/>
            <w:vAlign w:val="center"/>
            <w:shd w:fill="F8FAFC"/>
          </w:tcPr>
          <w:p>
            <w:pPr>
              <w:spacing w:before="0" w:after="20" w:line="240" w:lineRule="auto"/>
            </w:pPr>
            <w:r>
              <w:rPr>
                <w:rFonts w:ascii="Arial" w:hAnsi="Arial" w:eastAsia="Arial"/>
                <w:color w:val="1F2937"/>
                <w:sz w:val="14"/>
              </w:rPr>
              <w:t>P(X=x) = C(n,x)pˣ(1−p)ⁿ⁻ˣ</w:t>
            </w:r>
          </w:p>
        </w:tc>
        <w:tc>
          <w:tcPr>
            <w:tcW w:type="dxa" w:w="3600"/>
            <w:vAlign w:val="center"/>
            <w:shd w:fill="F8FAFC"/>
          </w:tcPr>
          <w:p>
            <w:pPr>
              <w:spacing w:before="0" w:after="20" w:line="240" w:lineRule="auto"/>
            </w:pPr>
            <w:r>
              <w:rPr>
                <w:rFonts w:ascii="Arial" w:hAnsi="Arial" w:eastAsia="Arial"/>
                <w:color w:val="1F2937"/>
                <w:sz w:val="14"/>
              </w:rPr>
              <w:t>Fixed number of independent trials with constant success probability. Watch: Check all binomial conditions.</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Expected value</w:t>
            </w:r>
          </w:p>
        </w:tc>
        <w:tc>
          <w:tcPr>
            <w:tcW w:type="dxa" w:w="3600"/>
            <w:vAlign w:val="center"/>
          </w:tcPr>
          <w:p>
            <w:pPr>
              <w:spacing w:before="0" w:after="20" w:line="240" w:lineRule="auto"/>
            </w:pPr>
            <w:r>
              <w:rPr>
                <w:rFonts w:ascii="Arial" w:hAnsi="Arial" w:eastAsia="Arial"/>
                <w:color w:val="1F2937"/>
                <w:sz w:val="14"/>
              </w:rPr>
              <w:t>E(X) = ΣxP(X=x)</w:t>
            </w:r>
          </w:p>
        </w:tc>
        <w:tc>
          <w:tcPr>
            <w:tcW w:type="dxa" w:w="3600"/>
            <w:vAlign w:val="center"/>
          </w:tcPr>
          <w:p>
            <w:pPr>
              <w:spacing w:before="0" w:after="20" w:line="240" w:lineRule="auto"/>
            </w:pPr>
            <w:r>
              <w:rPr>
                <w:rFonts w:ascii="Arial" w:hAnsi="Arial" w:eastAsia="Arial"/>
                <w:color w:val="1F2937"/>
                <w:sz w:val="14"/>
              </w:rPr>
              <w:t>Long-run average for discrete random variable. Watch: E(X) need not be an obtainable outcome.</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Poisson distribution</w:t>
            </w:r>
          </w:p>
        </w:tc>
        <w:tc>
          <w:tcPr>
            <w:tcW w:type="dxa" w:w="3600"/>
            <w:vAlign w:val="center"/>
            <w:shd w:fill="F8FAFC"/>
          </w:tcPr>
          <w:p>
            <w:pPr>
              <w:spacing w:before="0" w:after="20" w:line="240" w:lineRule="auto"/>
            </w:pPr>
            <w:r>
              <w:rPr>
                <w:rFonts w:ascii="Arial" w:hAnsi="Arial" w:eastAsia="Arial"/>
                <w:color w:val="1F2937"/>
                <w:sz w:val="14"/>
              </w:rPr>
              <w:t>P(X=x) = e⁻ˡ λˣ / x!</w:t>
            </w:r>
          </w:p>
        </w:tc>
        <w:tc>
          <w:tcPr>
            <w:tcW w:type="dxa" w:w="3600"/>
            <w:vAlign w:val="center"/>
            <w:shd w:fill="F8FAFC"/>
          </w:tcPr>
          <w:p>
            <w:pPr>
              <w:spacing w:before="0" w:after="20" w:line="240" w:lineRule="auto"/>
            </w:pPr>
            <w:r>
              <w:rPr>
                <w:rFonts w:ascii="Arial" w:hAnsi="Arial" w:eastAsia="Arial"/>
                <w:color w:val="1F2937"/>
                <w:sz w:val="14"/>
              </w:rPr>
              <w:t>Counts over interval with constant average rate. Watch: Mean and variance are both λ.</w:t>
            </w:r>
          </w:p>
        </w:tc>
      </w:tr>
      <w:tr>
        <w:tc>
          <w:tcPr>
            <w:tcW w:type="dxa" w:w="864"/>
            <w:vAlign w:val="center"/>
          </w:tcPr>
          <w:p>
            <w:pPr>
              <w:spacing w:before="0" w:after="20" w:line="240" w:lineRule="auto"/>
            </w:pPr>
            <w:r>
              <w:rPr>
                <w:rFonts w:ascii="Arial" w:hAnsi="Arial" w:eastAsia="Arial"/>
                <w:color w:val="1F2937"/>
                <w:sz w:val="14"/>
              </w:rPr>
              <w:t>SL/HL</w:t>
            </w:r>
          </w:p>
        </w:tc>
        <w:tc>
          <w:tcPr>
            <w:tcW w:type="dxa" w:w="2160"/>
            <w:vAlign w:val="center"/>
          </w:tcPr>
          <w:p>
            <w:pPr>
              <w:spacing w:before="0" w:after="20" w:line="240" w:lineRule="auto"/>
            </w:pPr>
            <w:r>
              <w:rPr>
                <w:rFonts w:ascii="Arial" w:hAnsi="Arial" w:eastAsia="Arial"/>
                <w:color w:val="1F2937"/>
                <w:sz w:val="14"/>
              </w:rPr>
              <w:t>Chi-square statistic</w:t>
            </w:r>
          </w:p>
        </w:tc>
        <w:tc>
          <w:tcPr>
            <w:tcW w:type="dxa" w:w="3600"/>
            <w:vAlign w:val="center"/>
          </w:tcPr>
          <w:p>
            <w:pPr>
              <w:spacing w:before="0" w:after="20" w:line="240" w:lineRule="auto"/>
            </w:pPr>
            <w:r>
              <w:rPr>
                <w:rFonts w:ascii="Arial" w:hAnsi="Arial" w:eastAsia="Arial"/>
                <w:color w:val="1F2937"/>
                <w:sz w:val="14"/>
              </w:rPr>
              <w:t>χ² = Σ (O−E)²/E</w:t>
            </w:r>
          </w:p>
        </w:tc>
        <w:tc>
          <w:tcPr>
            <w:tcW w:type="dxa" w:w="3600"/>
            <w:vAlign w:val="center"/>
          </w:tcPr>
          <w:p>
            <w:pPr>
              <w:spacing w:before="0" w:after="20" w:line="240" w:lineRule="auto"/>
            </w:pPr>
            <w:r>
              <w:rPr>
                <w:rFonts w:ascii="Arial" w:hAnsi="Arial" w:eastAsia="Arial"/>
                <w:color w:val="1F2937"/>
                <w:sz w:val="14"/>
              </w:rPr>
              <w:t>Goodness of fit and independence tests. Watch: Expected counts should generally be sufficiently large.</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Confidence interval pattern</w:t>
            </w:r>
          </w:p>
        </w:tc>
        <w:tc>
          <w:tcPr>
            <w:tcW w:type="dxa" w:w="3600"/>
            <w:vAlign w:val="center"/>
            <w:shd w:fill="F8FAFC"/>
          </w:tcPr>
          <w:p>
            <w:pPr>
              <w:spacing w:before="0" w:after="20" w:line="240" w:lineRule="auto"/>
            </w:pPr>
            <w:r>
              <w:rPr>
                <w:rFonts w:ascii="Arial" w:hAnsi="Arial" w:eastAsia="Arial"/>
                <w:color w:val="1F2937"/>
                <w:sz w:val="14"/>
              </w:rPr>
              <w:t>estimate ± critical value × standard error</w:t>
            </w:r>
          </w:p>
        </w:tc>
        <w:tc>
          <w:tcPr>
            <w:tcW w:type="dxa" w:w="3600"/>
            <w:vAlign w:val="center"/>
            <w:shd w:fill="F8FAFC"/>
          </w:tcPr>
          <w:p>
            <w:pPr>
              <w:spacing w:before="0" w:after="20" w:line="240" w:lineRule="auto"/>
            </w:pPr>
            <w:r>
              <w:rPr>
                <w:rFonts w:ascii="Arial" w:hAnsi="Arial" w:eastAsia="Arial"/>
                <w:color w:val="1F2937"/>
                <w:sz w:val="14"/>
              </w:rPr>
              <w:t>Interval estimates for a mean/proportion as appropriate. Watch: Interpret confidence in method, not probability of a fixed parameter.</w:t>
            </w:r>
          </w:p>
        </w:tc>
      </w:tr>
    </w:tbl>
    <w:p/>
    <w:p>
      <w:pPr>
        <w:pStyle w:val="Heading2"/>
        <w:spacing w:before="80" w:after="60" w:line="240" w:lineRule="auto"/>
      </w:pPr>
      <w:r>
        <w:t>Markov chains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State update</w:t>
            </w:r>
          </w:p>
        </w:tc>
        <w:tc>
          <w:tcPr>
            <w:tcW w:type="dxa" w:w="3600"/>
            <w:vAlign w:val="center"/>
          </w:tcPr>
          <w:p>
            <w:pPr>
              <w:spacing w:before="0" w:after="20" w:line="240" w:lineRule="auto"/>
            </w:pPr>
            <w:r>
              <w:rPr>
                <w:rFonts w:ascii="Arial" w:hAnsi="Arial" w:eastAsia="Arial"/>
                <w:color w:val="1F2937"/>
                <w:sz w:val="14"/>
              </w:rPr>
              <w:t>sₙ₊₁ = T sₙ; sₙ = Tⁿ s₀</w:t>
            </w:r>
          </w:p>
        </w:tc>
        <w:tc>
          <w:tcPr>
            <w:tcW w:type="dxa" w:w="3600"/>
            <w:vAlign w:val="center"/>
          </w:tcPr>
          <w:p>
            <w:pPr>
              <w:spacing w:before="0" w:after="20" w:line="240" w:lineRule="auto"/>
            </w:pPr>
            <w:r>
              <w:rPr>
                <w:rFonts w:ascii="Arial" w:hAnsi="Arial" w:eastAsia="Arial"/>
                <w:color w:val="1F2937"/>
                <w:sz w:val="14"/>
              </w:rPr>
              <w:t>Transition matrices and long-run behaviour. Watch: Use correct row/column convention.</w:t>
            </w:r>
          </w:p>
        </w:tc>
      </w:tr>
    </w:tbl>
    <w:p/>
    <w:p>
      <w:r>
        <w:br w:type="page"/>
      </w:r>
    </w:p>
    <w:p>
      <w:pPr>
        <w:pStyle w:val="Heading2"/>
        <w:spacing w:before="80" w:after="60" w:line="240" w:lineRule="auto"/>
      </w:pPr>
      <w:r>
        <w:t>Calculus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Derivative power rule</w:t>
            </w:r>
          </w:p>
        </w:tc>
        <w:tc>
          <w:tcPr>
            <w:tcW w:type="dxa" w:w="3600"/>
            <w:vAlign w:val="center"/>
          </w:tcPr>
          <w:p>
            <w:pPr>
              <w:spacing w:before="0" w:after="20" w:line="240" w:lineRule="auto"/>
            </w:pPr>
            <w:r>
              <w:rPr>
                <w:rFonts w:ascii="Arial" w:hAnsi="Arial" w:eastAsia="Arial"/>
                <w:color w:val="1F2937"/>
                <w:sz w:val="14"/>
              </w:rPr>
              <w:t>d/dx(xⁿ) = nxⁿ⁻¹</w:t>
            </w:r>
          </w:p>
        </w:tc>
        <w:tc>
          <w:tcPr>
            <w:tcW w:type="dxa" w:w="3600"/>
            <w:vAlign w:val="center"/>
          </w:tcPr>
          <w:p>
            <w:pPr>
              <w:spacing w:before="0" w:after="20" w:line="240" w:lineRule="auto"/>
            </w:pPr>
            <w:r>
              <w:rPr>
                <w:rFonts w:ascii="Arial" w:hAnsi="Arial" w:eastAsia="Arial"/>
                <w:color w:val="1F2937"/>
                <w:sz w:val="14"/>
              </w:rPr>
              <w:t>Rates of change for power functions. Watch: Valid for powers covered at SL; keep coefficient.</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Tangent line</w:t>
            </w:r>
          </w:p>
        </w:tc>
        <w:tc>
          <w:tcPr>
            <w:tcW w:type="dxa" w:w="3600"/>
            <w:vAlign w:val="center"/>
            <w:shd w:fill="F8FAFC"/>
          </w:tcPr>
          <w:p>
            <w:pPr>
              <w:spacing w:before="0" w:after="20" w:line="240" w:lineRule="auto"/>
            </w:pPr>
            <w:r>
              <w:rPr>
                <w:rFonts w:ascii="Arial" w:hAnsi="Arial" w:eastAsia="Arial"/>
                <w:color w:val="1F2937"/>
                <w:sz w:val="14"/>
              </w:rPr>
              <w:t>y − y₁ = m(x − x₁), m = f′(x₁)</w:t>
            </w:r>
          </w:p>
        </w:tc>
        <w:tc>
          <w:tcPr>
            <w:tcW w:type="dxa" w:w="3600"/>
            <w:vAlign w:val="center"/>
            <w:shd w:fill="F8FAFC"/>
          </w:tcPr>
          <w:p>
            <w:pPr>
              <w:spacing w:before="0" w:after="20" w:line="240" w:lineRule="auto"/>
            </w:pPr>
            <w:r>
              <w:rPr>
                <w:rFonts w:ascii="Arial" w:hAnsi="Arial" w:eastAsia="Arial"/>
                <w:color w:val="1F2937"/>
                <w:sz w:val="14"/>
              </w:rPr>
              <w:t>Local linear approximation. Watch: Point must lie on curve.</w:t>
            </w:r>
          </w:p>
        </w:tc>
      </w:tr>
      <w:tr>
        <w:tc>
          <w:tcPr>
            <w:tcW w:type="dxa" w:w="864"/>
            <w:vAlign w:val="center"/>
          </w:tcPr>
          <w:p>
            <w:pPr>
              <w:spacing w:before="0" w:after="20" w:line="240" w:lineRule="auto"/>
            </w:pPr>
            <w:r>
              <w:rPr>
                <w:rFonts w:ascii="Arial" w:hAnsi="Arial" w:eastAsia="Arial"/>
                <w:color w:val="1F2937"/>
                <w:sz w:val="14"/>
              </w:rPr>
              <w:t>SL</w:t>
            </w:r>
          </w:p>
        </w:tc>
        <w:tc>
          <w:tcPr>
            <w:tcW w:type="dxa" w:w="2160"/>
            <w:vAlign w:val="center"/>
          </w:tcPr>
          <w:p>
            <w:pPr>
              <w:spacing w:before="0" w:after="20" w:line="240" w:lineRule="auto"/>
            </w:pPr>
            <w:r>
              <w:rPr>
                <w:rFonts w:ascii="Arial" w:hAnsi="Arial" w:eastAsia="Arial"/>
                <w:color w:val="1F2937"/>
                <w:sz w:val="14"/>
              </w:rPr>
              <w:t>Integral power rule</w:t>
            </w:r>
          </w:p>
        </w:tc>
        <w:tc>
          <w:tcPr>
            <w:tcW w:type="dxa" w:w="3600"/>
            <w:vAlign w:val="center"/>
          </w:tcPr>
          <w:p>
            <w:pPr>
              <w:spacing w:before="0" w:after="20" w:line="240" w:lineRule="auto"/>
            </w:pPr>
            <w:r>
              <w:rPr>
                <w:rFonts w:ascii="Arial" w:hAnsi="Arial" w:eastAsia="Arial"/>
                <w:color w:val="1F2937"/>
                <w:sz w:val="14"/>
              </w:rPr>
              <w:t>∫xⁿ dx = xⁿ⁺¹/(n+1) + C, n ≠ −1</w:t>
            </w:r>
          </w:p>
        </w:tc>
        <w:tc>
          <w:tcPr>
            <w:tcW w:type="dxa" w:w="3600"/>
            <w:vAlign w:val="center"/>
          </w:tcPr>
          <w:p>
            <w:pPr>
              <w:spacing w:before="0" w:after="20" w:line="240" w:lineRule="auto"/>
            </w:pPr>
            <w:r>
              <w:rPr>
                <w:rFonts w:ascii="Arial" w:hAnsi="Arial" w:eastAsia="Arial"/>
                <w:color w:val="1F2937"/>
                <w:sz w:val="14"/>
              </w:rPr>
              <w:t>Antiderivatives and accumulation. Watch: Remember +C for indefinite integrals.</w:t>
            </w:r>
          </w:p>
        </w:tc>
      </w:tr>
      <w:tr>
        <w:tc>
          <w:tcPr>
            <w:tcW w:type="dxa" w:w="864"/>
            <w:vAlign w:val="center"/>
            <w:shd w:fill="F8FAFC"/>
          </w:tcPr>
          <w:p>
            <w:pPr>
              <w:spacing w:before="0" w:after="20" w:line="240" w:lineRule="auto"/>
            </w:pPr>
            <w:r>
              <w:rPr>
                <w:rFonts w:ascii="Arial" w:hAnsi="Arial" w:eastAsia="Arial"/>
                <w:color w:val="1F2937"/>
                <w:sz w:val="14"/>
              </w:rPr>
              <w:t>SL</w:t>
            </w:r>
          </w:p>
        </w:tc>
        <w:tc>
          <w:tcPr>
            <w:tcW w:type="dxa" w:w="2160"/>
            <w:vAlign w:val="center"/>
            <w:shd w:fill="F8FAFC"/>
          </w:tcPr>
          <w:p>
            <w:pPr>
              <w:spacing w:before="0" w:after="20" w:line="240" w:lineRule="auto"/>
            </w:pPr>
            <w:r>
              <w:rPr>
                <w:rFonts w:ascii="Arial" w:hAnsi="Arial" w:eastAsia="Arial"/>
                <w:color w:val="1F2937"/>
                <w:sz w:val="14"/>
              </w:rPr>
              <w:t>Area under curve</w:t>
            </w:r>
          </w:p>
        </w:tc>
        <w:tc>
          <w:tcPr>
            <w:tcW w:type="dxa" w:w="3600"/>
            <w:vAlign w:val="center"/>
            <w:shd w:fill="F8FAFC"/>
          </w:tcPr>
          <w:p>
            <w:pPr>
              <w:spacing w:before="0" w:after="20" w:line="240" w:lineRule="auto"/>
            </w:pPr>
            <w:r>
              <w:rPr>
                <w:rFonts w:ascii="Arial" w:hAnsi="Arial" w:eastAsia="Arial"/>
                <w:color w:val="1F2937"/>
                <w:sz w:val="14"/>
              </w:rPr>
              <w:t>Area = ∫ₐᵇ f(x) dx when f(x) ≥ 0</w:t>
            </w:r>
          </w:p>
        </w:tc>
        <w:tc>
          <w:tcPr>
            <w:tcW w:type="dxa" w:w="3600"/>
            <w:vAlign w:val="center"/>
            <w:shd w:fill="F8FAFC"/>
          </w:tcPr>
          <w:p>
            <w:pPr>
              <w:spacing w:before="0" w:after="20" w:line="240" w:lineRule="auto"/>
            </w:pPr>
            <w:r>
              <w:rPr>
                <w:rFonts w:ascii="Arial" w:hAnsi="Arial" w:eastAsia="Arial"/>
                <w:color w:val="1F2937"/>
                <w:sz w:val="14"/>
              </w:rPr>
              <w:t>Accumulation and area. Watch: If curve is below x-axis, integral is negative; area is positive.</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Advanced derivatives</w:t>
            </w:r>
          </w:p>
        </w:tc>
        <w:tc>
          <w:tcPr>
            <w:tcW w:type="dxa" w:w="3600"/>
            <w:vAlign w:val="center"/>
          </w:tcPr>
          <w:p>
            <w:pPr>
              <w:spacing w:before="0" w:after="20" w:line="240" w:lineRule="auto"/>
            </w:pPr>
            <w:r>
              <w:rPr>
                <w:rFonts w:ascii="Arial" w:hAnsi="Arial" w:eastAsia="Arial"/>
                <w:color w:val="1F2937"/>
                <w:sz w:val="14"/>
              </w:rPr>
              <w:t>d/dx(eˣ)=eˣ; d/dx(ln x)=1/x; d/dx(sin x)=cos x; d/dx(cos x)=−sin x</w:t>
            </w:r>
          </w:p>
        </w:tc>
        <w:tc>
          <w:tcPr>
            <w:tcW w:type="dxa" w:w="3600"/>
            <w:vAlign w:val="center"/>
          </w:tcPr>
          <w:p>
            <w:pPr>
              <w:spacing w:before="0" w:after="20" w:line="240" w:lineRule="auto"/>
            </w:pPr>
            <w:r>
              <w:rPr>
                <w:rFonts w:ascii="Arial" w:hAnsi="Arial" w:eastAsia="Arial"/>
                <w:color w:val="1F2937"/>
                <w:sz w:val="14"/>
              </w:rPr>
              <w:t>HL differentiation and modelling. Watch: Trig derivatives require radians.</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Chain rule</w:t>
            </w:r>
          </w:p>
        </w:tc>
        <w:tc>
          <w:tcPr>
            <w:tcW w:type="dxa" w:w="3600"/>
            <w:vAlign w:val="center"/>
            <w:shd w:fill="F8FAFC"/>
          </w:tcPr>
          <w:p>
            <w:pPr>
              <w:spacing w:before="0" w:after="20" w:line="240" w:lineRule="auto"/>
            </w:pPr>
            <w:r>
              <w:rPr>
                <w:rFonts w:ascii="Arial" w:hAnsi="Arial" w:eastAsia="Arial"/>
                <w:color w:val="1F2937"/>
                <w:sz w:val="14"/>
              </w:rPr>
              <w:t>d/dx[f(g(x))] = f′(g(x))g′(x)</w:t>
            </w:r>
          </w:p>
        </w:tc>
        <w:tc>
          <w:tcPr>
            <w:tcW w:type="dxa" w:w="3600"/>
            <w:vAlign w:val="center"/>
            <w:shd w:fill="F8FAFC"/>
          </w:tcPr>
          <w:p>
            <w:pPr>
              <w:spacing w:before="0" w:after="20" w:line="240" w:lineRule="auto"/>
            </w:pPr>
            <w:r>
              <w:rPr>
                <w:rFonts w:ascii="Arial" w:hAnsi="Arial" w:eastAsia="Arial"/>
                <w:color w:val="1F2937"/>
                <w:sz w:val="14"/>
              </w:rPr>
              <w:t>Composite functions. Watch: Differentiate inside function.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Product/quotient rules</w:t>
            </w:r>
          </w:p>
        </w:tc>
        <w:tc>
          <w:tcPr>
            <w:tcW w:type="dxa" w:w="3600"/>
            <w:vAlign w:val="center"/>
          </w:tcPr>
          <w:p>
            <w:pPr>
              <w:spacing w:before="0" w:after="20" w:line="240" w:lineRule="auto"/>
            </w:pPr>
            <w:r>
              <w:rPr>
                <w:rFonts w:ascii="Arial" w:hAnsi="Arial" w:eastAsia="Arial"/>
                <w:color w:val="1F2937"/>
                <w:sz w:val="14"/>
              </w:rPr>
              <w:t>(uv)′=u′v+uv′; (u/v)′=(u′v−uv′)/v²</w:t>
            </w:r>
          </w:p>
        </w:tc>
        <w:tc>
          <w:tcPr>
            <w:tcW w:type="dxa" w:w="3600"/>
            <w:vAlign w:val="center"/>
          </w:tcPr>
          <w:p>
            <w:pPr>
              <w:spacing w:before="0" w:after="20" w:line="240" w:lineRule="auto"/>
            </w:pPr>
            <w:r>
              <w:rPr>
                <w:rFonts w:ascii="Arial" w:hAnsi="Arial" w:eastAsia="Arial"/>
                <w:color w:val="1F2937"/>
                <w:sz w:val="14"/>
              </w:rPr>
              <w:t>Products and quotients of functions. Watch: Order in quotient numerator matters.</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Second derivative test</w:t>
            </w:r>
          </w:p>
        </w:tc>
        <w:tc>
          <w:tcPr>
            <w:tcW w:type="dxa" w:w="3600"/>
            <w:vAlign w:val="center"/>
            <w:shd w:fill="F8FAFC"/>
          </w:tcPr>
          <w:p>
            <w:pPr>
              <w:spacing w:before="0" w:after="20" w:line="240" w:lineRule="auto"/>
            </w:pPr>
            <w:r>
              <w:rPr>
                <w:rFonts w:ascii="Arial" w:hAnsi="Arial" w:eastAsia="Arial"/>
                <w:color w:val="1F2937"/>
                <w:sz w:val="14"/>
              </w:rPr>
              <w:t>f′(x)=0 and f″(x)&gt;0 min; f″(x)&lt;0 max</w:t>
            </w:r>
          </w:p>
        </w:tc>
        <w:tc>
          <w:tcPr>
            <w:tcW w:type="dxa" w:w="3600"/>
            <w:vAlign w:val="center"/>
            <w:shd w:fill="F8FAFC"/>
          </w:tcPr>
          <w:p>
            <w:pPr>
              <w:spacing w:before="0" w:after="20" w:line="240" w:lineRule="auto"/>
            </w:pPr>
            <w:r>
              <w:rPr>
                <w:rFonts w:ascii="Arial" w:hAnsi="Arial" w:eastAsia="Arial"/>
                <w:color w:val="1F2937"/>
                <w:sz w:val="14"/>
              </w:rPr>
              <w:t>Classifying stationary points. Watch: If f″(x)=0, test is inconclusive.</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Volume of revolution</w:t>
            </w:r>
          </w:p>
        </w:tc>
        <w:tc>
          <w:tcPr>
            <w:tcW w:type="dxa" w:w="3600"/>
            <w:vAlign w:val="center"/>
          </w:tcPr>
          <w:p>
            <w:pPr>
              <w:spacing w:before="0" w:after="20" w:line="240" w:lineRule="auto"/>
            </w:pPr>
            <w:r>
              <w:rPr>
                <w:rFonts w:ascii="Arial" w:hAnsi="Arial" w:eastAsia="Arial"/>
                <w:color w:val="1F2937"/>
                <w:sz w:val="14"/>
              </w:rPr>
              <w:t>V = ∫ₐᵇ π[y(x)]² dx around x-axis</w:t>
            </w:r>
          </w:p>
        </w:tc>
        <w:tc>
          <w:tcPr>
            <w:tcW w:type="dxa" w:w="3600"/>
            <w:vAlign w:val="center"/>
          </w:tcPr>
          <w:p>
            <w:pPr>
              <w:spacing w:before="0" w:after="20" w:line="240" w:lineRule="auto"/>
            </w:pPr>
            <w:r>
              <w:rPr>
                <w:rFonts w:ascii="Arial" w:hAnsi="Arial" w:eastAsia="Arial"/>
                <w:color w:val="1F2937"/>
                <w:sz w:val="14"/>
              </w:rPr>
              <w:t>Solids formed by rotation. Watch: Use correct axis and radius function.</w:t>
            </w:r>
          </w:p>
        </w:tc>
      </w:tr>
    </w:tbl>
    <w:p/>
    <w:p>
      <w:pPr>
        <w:pStyle w:val="Heading2"/>
        <w:spacing w:before="80" w:after="60" w:line="240" w:lineRule="auto"/>
      </w:pPr>
      <w:r>
        <w:t>Differential equations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Separable form</w:t>
            </w:r>
          </w:p>
        </w:tc>
        <w:tc>
          <w:tcPr>
            <w:tcW w:type="dxa" w:w="3600"/>
            <w:vAlign w:val="center"/>
          </w:tcPr>
          <w:p>
            <w:pPr>
              <w:spacing w:before="0" w:after="20" w:line="240" w:lineRule="auto"/>
            </w:pPr>
            <w:r>
              <w:rPr>
                <w:rFonts w:ascii="Arial" w:hAnsi="Arial" w:eastAsia="Arial"/>
                <w:color w:val="1F2937"/>
                <w:sz w:val="14"/>
              </w:rPr>
              <w:t>dy/dx = f(x)g(y) ⇒ ∫1/g(y) dy = ∫f(x) dx</w:t>
            </w:r>
          </w:p>
        </w:tc>
        <w:tc>
          <w:tcPr>
            <w:tcW w:type="dxa" w:w="3600"/>
            <w:vAlign w:val="center"/>
          </w:tcPr>
          <w:p>
            <w:pPr>
              <w:spacing w:before="0" w:after="20" w:line="240" w:lineRule="auto"/>
            </w:pPr>
            <w:r>
              <w:rPr>
                <w:rFonts w:ascii="Arial" w:hAnsi="Arial" w:eastAsia="Arial"/>
                <w:color w:val="1F2937"/>
                <w:sz w:val="14"/>
              </w:rPr>
              <w:t>Growth/decay and contextual rates. Watch: Include constant and apply initial condition.</w:t>
            </w:r>
          </w:p>
        </w:tc>
      </w:tr>
      <w:tr>
        <w:tc>
          <w:tcPr>
            <w:tcW w:type="dxa" w:w="864"/>
            <w:vAlign w:val="center"/>
            <w:shd w:fill="F8FAFC"/>
          </w:tcPr>
          <w:p>
            <w:pPr>
              <w:spacing w:before="0" w:after="20" w:line="240" w:lineRule="auto"/>
            </w:pPr>
            <w:r>
              <w:rPr>
                <w:rFonts w:ascii="Arial" w:hAnsi="Arial" w:eastAsia="Arial"/>
                <w:color w:val="1F2937"/>
                <w:sz w:val="14"/>
              </w:rPr>
              <w:t>HL</w:t>
            </w:r>
          </w:p>
        </w:tc>
        <w:tc>
          <w:tcPr>
            <w:tcW w:type="dxa" w:w="2160"/>
            <w:vAlign w:val="center"/>
            <w:shd w:fill="F8FAFC"/>
          </w:tcPr>
          <w:p>
            <w:pPr>
              <w:spacing w:before="0" w:after="20" w:line="240" w:lineRule="auto"/>
            </w:pPr>
            <w:r>
              <w:rPr>
                <w:rFonts w:ascii="Arial" w:hAnsi="Arial" w:eastAsia="Arial"/>
                <w:color w:val="1F2937"/>
                <w:sz w:val="14"/>
              </w:rPr>
              <w:t>Euler method</w:t>
            </w:r>
          </w:p>
        </w:tc>
        <w:tc>
          <w:tcPr>
            <w:tcW w:type="dxa" w:w="3600"/>
            <w:vAlign w:val="center"/>
            <w:shd w:fill="F8FAFC"/>
          </w:tcPr>
          <w:p>
            <w:pPr>
              <w:spacing w:before="0" w:after="20" w:line="240" w:lineRule="auto"/>
            </w:pPr>
            <w:r>
              <w:rPr>
                <w:rFonts w:ascii="Arial" w:hAnsi="Arial" w:eastAsia="Arial"/>
                <w:color w:val="1F2937"/>
                <w:sz w:val="14"/>
              </w:rPr>
              <w:t>yₙ₊₁ = yₙ + h f(xₙ,yₙ)</w:t>
            </w:r>
          </w:p>
        </w:tc>
        <w:tc>
          <w:tcPr>
            <w:tcW w:type="dxa" w:w="3600"/>
            <w:vAlign w:val="center"/>
            <w:shd w:fill="F8FAFC"/>
          </w:tcPr>
          <w:p>
            <w:pPr>
              <w:spacing w:before="0" w:after="20" w:line="240" w:lineRule="auto"/>
            </w:pPr>
            <w:r>
              <w:rPr>
                <w:rFonts w:ascii="Arial" w:hAnsi="Arial" w:eastAsia="Arial"/>
                <w:color w:val="1F2937"/>
                <w:sz w:val="14"/>
              </w:rPr>
              <w:t>Numerical solutions to first-order differential equations. Watch: Step size h controls accuracy and workload.</w:t>
            </w:r>
          </w:p>
        </w:tc>
      </w:tr>
    </w:tbl>
    <w:p/>
    <w:p>
      <w:pPr>
        <w:pStyle w:val="Heading2"/>
        <w:spacing w:before="80" w:after="60" w:line="240" w:lineRule="auto"/>
      </w:pPr>
      <w:r>
        <w:t>Kinematics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864"/>
            <w:shd w:fill="0E9AA7"/>
            <w:vAlign w:val="center"/>
          </w:tcPr>
          <w:p>
            <w:pPr>
              <w:spacing w:before="0" w:after="20" w:line="240" w:lineRule="auto"/>
            </w:pPr>
            <w:r>
              <w:rPr>
                <w:b/>
                <w:color w:val="FFFFFF"/>
                <w:sz w:val="14"/>
              </w:rPr>
              <w:t>Level</w:t>
            </w:r>
          </w:p>
        </w:tc>
        <w:tc>
          <w:tcPr>
            <w:tcW w:type="dxa" w:w="2160"/>
            <w:shd w:fill="0E9AA7"/>
            <w:vAlign w:val="center"/>
          </w:tcPr>
          <w:p>
            <w:pPr>
              <w:spacing w:before="0" w:after="20" w:line="240" w:lineRule="auto"/>
            </w:pPr>
            <w:r>
              <w:rPr>
                <w:b/>
                <w:color w:val="FFFFFF"/>
                <w:sz w:val="14"/>
              </w:rPr>
              <w:t>Formula / fact</w:t>
            </w:r>
          </w:p>
        </w:tc>
        <w:tc>
          <w:tcPr>
            <w:tcW w:type="dxa" w:w="3600"/>
            <w:shd w:fill="0E9AA7"/>
            <w:vAlign w:val="center"/>
          </w:tcPr>
          <w:p>
            <w:pPr>
              <w:spacing w:before="0" w:after="20" w:line="240" w:lineRule="auto"/>
            </w:pPr>
            <w:r>
              <w:rPr>
                <w:b/>
                <w:color w:val="FFFFFF"/>
                <w:sz w:val="14"/>
              </w:rPr>
              <w:t>Statement</w:t>
            </w:r>
          </w:p>
        </w:tc>
        <w:tc>
          <w:tcPr>
            <w:tcW w:type="dxa" w:w="3600"/>
            <w:shd w:fill="0E9AA7"/>
            <w:vAlign w:val="center"/>
          </w:tcPr>
          <w:p>
            <w:pPr>
              <w:spacing w:before="0" w:after="20" w:line="240" w:lineRule="auto"/>
            </w:pPr>
            <w:r>
              <w:rPr>
                <w:b/>
                <w:color w:val="FFFFFF"/>
                <w:sz w:val="14"/>
              </w:rPr>
              <w:t>Use and caution</w:t>
            </w:r>
          </w:p>
        </w:tc>
      </w:tr>
      <w:tr>
        <w:tc>
          <w:tcPr>
            <w:tcW w:type="dxa" w:w="864"/>
            <w:vAlign w:val="center"/>
          </w:tcPr>
          <w:p>
            <w:pPr>
              <w:spacing w:before="0" w:after="20" w:line="240" w:lineRule="auto"/>
            </w:pPr>
            <w:r>
              <w:rPr>
                <w:rFonts w:ascii="Arial" w:hAnsi="Arial" w:eastAsia="Arial"/>
                <w:color w:val="1F2937"/>
                <w:sz w:val="14"/>
              </w:rPr>
              <w:t>HL</w:t>
            </w:r>
          </w:p>
        </w:tc>
        <w:tc>
          <w:tcPr>
            <w:tcW w:type="dxa" w:w="2160"/>
            <w:vAlign w:val="center"/>
          </w:tcPr>
          <w:p>
            <w:pPr>
              <w:spacing w:before="0" w:after="20" w:line="240" w:lineRule="auto"/>
            </w:pPr>
            <w:r>
              <w:rPr>
                <w:rFonts w:ascii="Arial" w:hAnsi="Arial" w:eastAsia="Arial"/>
                <w:color w:val="1F2937"/>
                <w:sz w:val="14"/>
              </w:rPr>
              <w:t>Velocity/acceleration</w:t>
            </w:r>
          </w:p>
        </w:tc>
        <w:tc>
          <w:tcPr>
            <w:tcW w:type="dxa" w:w="3600"/>
            <w:vAlign w:val="center"/>
          </w:tcPr>
          <w:p>
            <w:pPr>
              <w:spacing w:before="0" w:after="20" w:line="240" w:lineRule="auto"/>
            </w:pPr>
            <w:r>
              <w:rPr>
                <w:rFonts w:ascii="Arial" w:hAnsi="Arial" w:eastAsia="Arial"/>
                <w:color w:val="1F2937"/>
                <w:sz w:val="14"/>
              </w:rPr>
              <w:t>v = ds/dt; a = dv/dt = d²s/dt²; displacement = ∫v(t)dt</w:t>
            </w:r>
          </w:p>
        </w:tc>
        <w:tc>
          <w:tcPr>
            <w:tcW w:type="dxa" w:w="3600"/>
            <w:vAlign w:val="center"/>
          </w:tcPr>
          <w:p>
            <w:pPr>
              <w:spacing w:before="0" w:after="20" w:line="240" w:lineRule="auto"/>
            </w:pPr>
            <w:r>
              <w:rPr>
                <w:rFonts w:ascii="Arial" w:hAnsi="Arial" w:eastAsia="Arial"/>
                <w:color w:val="1F2937"/>
                <w:sz w:val="14"/>
              </w:rPr>
              <w:t>Motion contexts. Watch: Distance uses ∫|v(t)|dt, not always displacement.</w:t>
            </w:r>
          </w:p>
        </w:tc>
      </w:tr>
    </w:tbl>
    <w:p/>
    <w:p>
      <w:r>
        <w:br w:type="page"/>
      </w:r>
    </w:p>
    <w:p>
      <w:pPr>
        <w:pStyle w:val="Heading1"/>
        <w:spacing w:before="120" w:after="120" w:line="240" w:lineRule="auto"/>
      </w:pPr>
      <w:r>
        <w:t>4. Model and method decision bank</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2304"/>
            <w:shd w:fill="0B3954"/>
            <w:vAlign w:val="center"/>
          </w:tcPr>
          <w:p>
            <w:pPr>
              <w:spacing w:before="0" w:after="20" w:line="240" w:lineRule="auto"/>
            </w:pPr>
            <w:r>
              <w:rPr>
                <w:b/>
                <w:color w:val="FFFFFF"/>
                <w:sz w:val="16"/>
              </w:rPr>
              <w:t>Method</w:t>
            </w:r>
          </w:p>
        </w:tc>
        <w:tc>
          <w:tcPr>
            <w:tcW w:type="dxa" w:w="3888"/>
            <w:shd w:fill="0B3954"/>
            <w:vAlign w:val="center"/>
          </w:tcPr>
          <w:p>
            <w:pPr>
              <w:spacing w:before="0" w:after="20" w:line="240" w:lineRule="auto"/>
            </w:pPr>
            <w:r>
              <w:rPr>
                <w:b/>
                <w:color w:val="FFFFFF"/>
                <w:sz w:val="16"/>
              </w:rPr>
              <w:t>When to use it</w:t>
            </w:r>
          </w:p>
        </w:tc>
        <w:tc>
          <w:tcPr>
            <w:tcW w:type="dxa" w:w="3456"/>
            <w:shd w:fill="0B3954"/>
            <w:vAlign w:val="center"/>
          </w:tcPr>
          <w:p>
            <w:pPr>
              <w:spacing w:before="0" w:after="20" w:line="240" w:lineRule="auto"/>
            </w:pPr>
            <w:r>
              <w:rPr>
                <w:b/>
                <w:color w:val="FFFFFF"/>
                <w:sz w:val="16"/>
              </w:rPr>
              <w:t>Assumption / caution</w:t>
            </w:r>
          </w:p>
        </w:tc>
      </w:tr>
      <w:tr>
        <w:tc>
          <w:tcPr>
            <w:tcW w:type="dxa" w:w="2304"/>
            <w:vAlign w:val="center"/>
          </w:tcPr>
          <w:p>
            <w:pPr>
              <w:spacing w:before="0" w:after="20" w:line="240" w:lineRule="auto"/>
            </w:pPr>
            <w:r>
              <w:rPr>
                <w:rFonts w:ascii="Arial" w:hAnsi="Arial" w:eastAsia="Arial"/>
                <w:color w:val="1F2937"/>
                <w:sz w:val="16"/>
              </w:rPr>
              <w:t>Linear model</w:t>
            </w:r>
          </w:p>
        </w:tc>
        <w:tc>
          <w:tcPr>
            <w:tcW w:type="dxa" w:w="3888"/>
            <w:vAlign w:val="center"/>
          </w:tcPr>
          <w:p>
            <w:pPr>
              <w:spacing w:before="0" w:after="20" w:line="240" w:lineRule="auto"/>
            </w:pPr>
            <w:r>
              <w:rPr>
                <w:rFonts w:ascii="Arial" w:hAnsi="Arial" w:eastAsia="Arial"/>
                <w:color w:val="1F2937"/>
                <w:sz w:val="16"/>
              </w:rPr>
              <w:t>Use when the rate of change is approximately constant.</w:t>
            </w:r>
          </w:p>
        </w:tc>
        <w:tc>
          <w:tcPr>
            <w:tcW w:type="dxa" w:w="3456"/>
            <w:vAlign w:val="center"/>
          </w:tcPr>
          <w:p>
            <w:pPr>
              <w:spacing w:before="0" w:after="20" w:line="240" w:lineRule="auto"/>
            </w:pPr>
            <w:r>
              <w:rPr>
                <w:rFonts w:ascii="Arial" w:hAnsi="Arial" w:eastAsia="Arial"/>
                <w:color w:val="1F2937"/>
                <w:sz w:val="16"/>
              </w:rPr>
              <w:t>Check residuals and slope units; avoid extrapolating far beyond data.</w:t>
            </w:r>
          </w:p>
        </w:tc>
      </w:tr>
      <w:tr>
        <w:tc>
          <w:tcPr>
            <w:tcW w:type="dxa" w:w="2304"/>
            <w:vAlign w:val="center"/>
            <w:shd w:fill="F8FAFC"/>
          </w:tcPr>
          <w:p>
            <w:pPr>
              <w:spacing w:before="0" w:after="20" w:line="240" w:lineRule="auto"/>
            </w:pPr>
            <w:r>
              <w:rPr>
                <w:rFonts w:ascii="Arial" w:hAnsi="Arial" w:eastAsia="Arial"/>
                <w:color w:val="1F2937"/>
                <w:sz w:val="16"/>
              </w:rPr>
              <w:t>Exponential model</w:t>
            </w:r>
          </w:p>
        </w:tc>
        <w:tc>
          <w:tcPr>
            <w:tcW w:type="dxa" w:w="3888"/>
            <w:vAlign w:val="center"/>
            <w:shd w:fill="F8FAFC"/>
          </w:tcPr>
          <w:p>
            <w:pPr>
              <w:spacing w:before="0" w:after="20" w:line="240" w:lineRule="auto"/>
            </w:pPr>
            <w:r>
              <w:rPr>
                <w:rFonts w:ascii="Arial" w:hAnsi="Arial" w:eastAsia="Arial"/>
                <w:color w:val="1F2937"/>
                <w:sz w:val="16"/>
              </w:rPr>
              <w:t>Use when change is proportional to current amount.</w:t>
            </w:r>
          </w:p>
        </w:tc>
        <w:tc>
          <w:tcPr>
            <w:tcW w:type="dxa" w:w="3456"/>
            <w:vAlign w:val="center"/>
            <w:shd w:fill="F8FAFC"/>
          </w:tcPr>
          <w:p>
            <w:pPr>
              <w:spacing w:before="0" w:after="20" w:line="240" w:lineRule="auto"/>
            </w:pPr>
            <w:r>
              <w:rPr>
                <w:rFonts w:ascii="Arial" w:hAnsi="Arial" w:eastAsia="Arial"/>
                <w:color w:val="1F2937"/>
                <w:sz w:val="16"/>
              </w:rPr>
              <w:t>Initial value and growth factor must make contextual sense.</w:t>
            </w:r>
          </w:p>
        </w:tc>
      </w:tr>
      <w:tr>
        <w:tc>
          <w:tcPr>
            <w:tcW w:type="dxa" w:w="2304"/>
            <w:vAlign w:val="center"/>
          </w:tcPr>
          <w:p>
            <w:pPr>
              <w:spacing w:before="0" w:after="20" w:line="240" w:lineRule="auto"/>
            </w:pPr>
            <w:r>
              <w:rPr>
                <w:rFonts w:ascii="Arial" w:hAnsi="Arial" w:eastAsia="Arial"/>
                <w:color w:val="1F2937"/>
                <w:sz w:val="16"/>
              </w:rPr>
              <w:t>Logistic model (HL emphasis)</w:t>
            </w:r>
          </w:p>
        </w:tc>
        <w:tc>
          <w:tcPr>
            <w:tcW w:type="dxa" w:w="3888"/>
            <w:vAlign w:val="center"/>
          </w:tcPr>
          <w:p>
            <w:pPr>
              <w:spacing w:before="0" w:after="20" w:line="240" w:lineRule="auto"/>
            </w:pPr>
            <w:r>
              <w:rPr>
                <w:rFonts w:ascii="Arial" w:hAnsi="Arial" w:eastAsia="Arial"/>
                <w:color w:val="1F2937"/>
                <w:sz w:val="16"/>
              </w:rPr>
              <w:t>Use for growth with an upper carrying capacity.</w:t>
            </w:r>
          </w:p>
        </w:tc>
        <w:tc>
          <w:tcPr>
            <w:tcW w:type="dxa" w:w="3456"/>
            <w:vAlign w:val="center"/>
          </w:tcPr>
          <w:p>
            <w:pPr>
              <w:spacing w:before="0" w:after="20" w:line="240" w:lineRule="auto"/>
            </w:pPr>
            <w:r>
              <w:rPr>
                <w:rFonts w:ascii="Arial" w:hAnsi="Arial" w:eastAsia="Arial"/>
                <w:color w:val="1F2937"/>
                <w:sz w:val="16"/>
              </w:rPr>
              <w:t>State capacity and discuss why growth slows.</w:t>
            </w:r>
          </w:p>
        </w:tc>
      </w:tr>
      <w:tr>
        <w:tc>
          <w:tcPr>
            <w:tcW w:type="dxa" w:w="2304"/>
            <w:vAlign w:val="center"/>
            <w:shd w:fill="F8FAFC"/>
          </w:tcPr>
          <w:p>
            <w:pPr>
              <w:spacing w:before="0" w:after="20" w:line="240" w:lineRule="auto"/>
            </w:pPr>
            <w:r>
              <w:rPr>
                <w:rFonts w:ascii="Arial" w:hAnsi="Arial" w:eastAsia="Arial"/>
                <w:color w:val="1F2937"/>
                <w:sz w:val="16"/>
              </w:rPr>
              <w:t>Sinusoidal model</w:t>
            </w:r>
          </w:p>
        </w:tc>
        <w:tc>
          <w:tcPr>
            <w:tcW w:type="dxa" w:w="3888"/>
            <w:vAlign w:val="center"/>
            <w:shd w:fill="F8FAFC"/>
          </w:tcPr>
          <w:p>
            <w:pPr>
              <w:spacing w:before="0" w:after="20" w:line="240" w:lineRule="auto"/>
            </w:pPr>
            <w:r>
              <w:rPr>
                <w:rFonts w:ascii="Arial" w:hAnsi="Arial" w:eastAsia="Arial"/>
                <w:color w:val="1F2937"/>
                <w:sz w:val="16"/>
              </w:rPr>
              <w:t>Use for periodic contexts such as tides, seasons, or cycles.</w:t>
            </w:r>
          </w:p>
        </w:tc>
        <w:tc>
          <w:tcPr>
            <w:tcW w:type="dxa" w:w="3456"/>
            <w:vAlign w:val="center"/>
            <w:shd w:fill="F8FAFC"/>
          </w:tcPr>
          <w:p>
            <w:pPr>
              <w:spacing w:before="0" w:after="20" w:line="240" w:lineRule="auto"/>
            </w:pPr>
            <w:r>
              <w:rPr>
                <w:rFonts w:ascii="Arial" w:hAnsi="Arial" w:eastAsia="Arial"/>
                <w:color w:val="1F2937"/>
                <w:sz w:val="16"/>
              </w:rPr>
              <w:t>Amplitude, period, midline, and phase shift must be interpreted.</w:t>
            </w:r>
          </w:p>
        </w:tc>
      </w:tr>
      <w:tr>
        <w:tc>
          <w:tcPr>
            <w:tcW w:type="dxa" w:w="2304"/>
            <w:vAlign w:val="center"/>
          </w:tcPr>
          <w:p>
            <w:pPr>
              <w:spacing w:before="0" w:after="20" w:line="240" w:lineRule="auto"/>
            </w:pPr>
            <w:r>
              <w:rPr>
                <w:rFonts w:ascii="Arial" w:hAnsi="Arial" w:eastAsia="Arial"/>
                <w:color w:val="1F2937"/>
                <w:sz w:val="16"/>
              </w:rPr>
              <w:t>Normal model</w:t>
            </w:r>
          </w:p>
        </w:tc>
        <w:tc>
          <w:tcPr>
            <w:tcW w:type="dxa" w:w="3888"/>
            <w:vAlign w:val="center"/>
          </w:tcPr>
          <w:p>
            <w:pPr>
              <w:spacing w:before="0" w:after="20" w:line="240" w:lineRule="auto"/>
            </w:pPr>
            <w:r>
              <w:rPr>
                <w:rFonts w:ascii="Arial" w:hAnsi="Arial" w:eastAsia="Arial"/>
                <w:color w:val="1F2937"/>
                <w:sz w:val="16"/>
              </w:rPr>
              <w:t>Use for continuous, roughly symmetric bell-shaped measurements.</w:t>
            </w:r>
          </w:p>
        </w:tc>
        <w:tc>
          <w:tcPr>
            <w:tcW w:type="dxa" w:w="3456"/>
            <w:vAlign w:val="center"/>
          </w:tcPr>
          <w:p>
            <w:pPr>
              <w:spacing w:before="0" w:after="20" w:line="240" w:lineRule="auto"/>
            </w:pPr>
            <w:r>
              <w:rPr>
                <w:rFonts w:ascii="Arial" w:hAnsi="Arial" w:eastAsia="Arial"/>
                <w:color w:val="1F2937"/>
                <w:sz w:val="16"/>
              </w:rPr>
              <w:t>Check mean/standard deviation and tail area wording.</w:t>
            </w:r>
          </w:p>
        </w:tc>
      </w:tr>
      <w:tr>
        <w:tc>
          <w:tcPr>
            <w:tcW w:type="dxa" w:w="2304"/>
            <w:vAlign w:val="center"/>
            <w:shd w:fill="F8FAFC"/>
          </w:tcPr>
          <w:p>
            <w:pPr>
              <w:spacing w:before="0" w:after="20" w:line="240" w:lineRule="auto"/>
            </w:pPr>
            <w:r>
              <w:rPr>
                <w:rFonts w:ascii="Arial" w:hAnsi="Arial" w:eastAsia="Arial"/>
                <w:color w:val="1F2937"/>
                <w:sz w:val="16"/>
              </w:rPr>
              <w:t>Binomial model</w:t>
            </w:r>
          </w:p>
        </w:tc>
        <w:tc>
          <w:tcPr>
            <w:tcW w:type="dxa" w:w="3888"/>
            <w:vAlign w:val="center"/>
            <w:shd w:fill="F8FAFC"/>
          </w:tcPr>
          <w:p>
            <w:pPr>
              <w:spacing w:before="0" w:after="20" w:line="240" w:lineRule="auto"/>
            </w:pPr>
            <w:r>
              <w:rPr>
                <w:rFonts w:ascii="Arial" w:hAnsi="Arial" w:eastAsia="Arial"/>
                <w:color w:val="1F2937"/>
                <w:sz w:val="16"/>
              </w:rPr>
              <w:t>Fixed number of independent trials with two outcomes and constant probability.</w:t>
            </w:r>
          </w:p>
        </w:tc>
        <w:tc>
          <w:tcPr>
            <w:tcW w:type="dxa" w:w="3456"/>
            <w:vAlign w:val="center"/>
            <w:shd w:fill="F8FAFC"/>
          </w:tcPr>
          <w:p>
            <w:pPr>
              <w:spacing w:before="0" w:after="20" w:line="240" w:lineRule="auto"/>
            </w:pPr>
            <w:r>
              <w:rPr>
                <w:rFonts w:ascii="Arial" w:hAnsi="Arial" w:eastAsia="Arial"/>
                <w:color w:val="1F2937"/>
                <w:sz w:val="16"/>
              </w:rPr>
              <w:t>Do not use if probability changes or trials are not independent.</w:t>
            </w:r>
          </w:p>
        </w:tc>
      </w:tr>
      <w:tr>
        <w:tc>
          <w:tcPr>
            <w:tcW w:type="dxa" w:w="2304"/>
            <w:vAlign w:val="center"/>
          </w:tcPr>
          <w:p>
            <w:pPr>
              <w:spacing w:before="0" w:after="20" w:line="240" w:lineRule="auto"/>
            </w:pPr>
            <w:r>
              <w:rPr>
                <w:rFonts w:ascii="Arial" w:hAnsi="Arial" w:eastAsia="Arial"/>
                <w:color w:val="1F2937"/>
                <w:sz w:val="16"/>
              </w:rPr>
              <w:t>Poisson model</w:t>
            </w:r>
          </w:p>
        </w:tc>
        <w:tc>
          <w:tcPr>
            <w:tcW w:type="dxa" w:w="3888"/>
            <w:vAlign w:val="center"/>
          </w:tcPr>
          <w:p>
            <w:pPr>
              <w:spacing w:before="0" w:after="20" w:line="240" w:lineRule="auto"/>
            </w:pPr>
            <w:r>
              <w:rPr>
                <w:rFonts w:ascii="Arial" w:hAnsi="Arial" w:eastAsia="Arial"/>
                <w:color w:val="1F2937"/>
                <w:sz w:val="16"/>
              </w:rPr>
              <w:t>Counts of events in a fixed interval with known average rate.</w:t>
            </w:r>
          </w:p>
        </w:tc>
        <w:tc>
          <w:tcPr>
            <w:tcW w:type="dxa" w:w="3456"/>
            <w:vAlign w:val="center"/>
          </w:tcPr>
          <w:p>
            <w:pPr>
              <w:spacing w:before="0" w:after="20" w:line="240" w:lineRule="auto"/>
            </w:pPr>
            <w:r>
              <w:rPr>
                <w:rFonts w:ascii="Arial" w:hAnsi="Arial" w:eastAsia="Arial"/>
                <w:color w:val="1F2937"/>
                <w:sz w:val="16"/>
              </w:rPr>
              <w:t>Use appropriate interval and independence assumptions.</w:t>
            </w:r>
          </w:p>
        </w:tc>
      </w:tr>
      <w:tr>
        <w:tc>
          <w:tcPr>
            <w:tcW w:type="dxa" w:w="2304"/>
            <w:vAlign w:val="center"/>
            <w:shd w:fill="F8FAFC"/>
          </w:tcPr>
          <w:p>
            <w:pPr>
              <w:spacing w:before="0" w:after="20" w:line="240" w:lineRule="auto"/>
            </w:pPr>
            <w:r>
              <w:rPr>
                <w:rFonts w:ascii="Arial" w:hAnsi="Arial" w:eastAsia="Arial"/>
                <w:color w:val="1F2937"/>
                <w:sz w:val="16"/>
              </w:rPr>
              <w:t>Regression</w:t>
            </w:r>
          </w:p>
        </w:tc>
        <w:tc>
          <w:tcPr>
            <w:tcW w:type="dxa" w:w="3888"/>
            <w:vAlign w:val="center"/>
            <w:shd w:fill="F8FAFC"/>
          </w:tcPr>
          <w:p>
            <w:pPr>
              <w:spacing w:before="0" w:after="20" w:line="240" w:lineRule="auto"/>
            </w:pPr>
            <w:r>
              <w:rPr>
                <w:rFonts w:ascii="Arial" w:hAnsi="Arial" w:eastAsia="Arial"/>
                <w:color w:val="1F2937"/>
                <w:sz w:val="16"/>
              </w:rPr>
              <w:t>Predict and quantify association between variables.</w:t>
            </w:r>
          </w:p>
        </w:tc>
        <w:tc>
          <w:tcPr>
            <w:tcW w:type="dxa" w:w="3456"/>
            <w:vAlign w:val="center"/>
            <w:shd w:fill="F8FAFC"/>
          </w:tcPr>
          <w:p>
            <w:pPr>
              <w:spacing w:before="0" w:after="20" w:line="240" w:lineRule="auto"/>
            </w:pPr>
            <w:r>
              <w:rPr>
                <w:rFonts w:ascii="Arial" w:hAnsi="Arial" w:eastAsia="Arial"/>
                <w:color w:val="1F2937"/>
                <w:sz w:val="16"/>
              </w:rPr>
              <w:t>Correlation is not causation; residuals matter.</w:t>
            </w:r>
          </w:p>
        </w:tc>
      </w:tr>
      <w:tr>
        <w:tc>
          <w:tcPr>
            <w:tcW w:type="dxa" w:w="2304"/>
            <w:vAlign w:val="center"/>
          </w:tcPr>
          <w:p>
            <w:pPr>
              <w:spacing w:before="0" w:after="20" w:line="240" w:lineRule="auto"/>
            </w:pPr>
            <w:r>
              <w:rPr>
                <w:rFonts w:ascii="Arial" w:hAnsi="Arial" w:eastAsia="Arial"/>
                <w:color w:val="1F2937"/>
                <w:sz w:val="16"/>
              </w:rPr>
              <w:t>Confidence interval (HL)</w:t>
            </w:r>
          </w:p>
        </w:tc>
        <w:tc>
          <w:tcPr>
            <w:tcW w:type="dxa" w:w="3888"/>
            <w:vAlign w:val="center"/>
          </w:tcPr>
          <w:p>
            <w:pPr>
              <w:spacing w:before="0" w:after="20" w:line="240" w:lineRule="auto"/>
            </w:pPr>
            <w:r>
              <w:rPr>
                <w:rFonts w:ascii="Arial" w:hAnsi="Arial" w:eastAsia="Arial"/>
                <w:color w:val="1F2937"/>
                <w:sz w:val="16"/>
              </w:rPr>
              <w:t>Estimate plausible parameter values from sample data.</w:t>
            </w:r>
          </w:p>
        </w:tc>
        <w:tc>
          <w:tcPr>
            <w:tcW w:type="dxa" w:w="3456"/>
            <w:vAlign w:val="center"/>
          </w:tcPr>
          <w:p>
            <w:pPr>
              <w:spacing w:before="0" w:after="20" w:line="240" w:lineRule="auto"/>
            </w:pPr>
            <w:r>
              <w:rPr>
                <w:rFonts w:ascii="Arial" w:hAnsi="Arial" w:eastAsia="Arial"/>
                <w:color w:val="1F2937"/>
                <w:sz w:val="16"/>
              </w:rPr>
              <w:t>Interpret in repeated-sampling terms and state confidence level.</w:t>
            </w:r>
          </w:p>
        </w:tc>
      </w:tr>
      <w:tr>
        <w:tc>
          <w:tcPr>
            <w:tcW w:type="dxa" w:w="2304"/>
            <w:vAlign w:val="center"/>
            <w:shd w:fill="F8FAFC"/>
          </w:tcPr>
          <w:p>
            <w:pPr>
              <w:spacing w:before="0" w:after="20" w:line="240" w:lineRule="auto"/>
            </w:pPr>
            <w:r>
              <w:rPr>
                <w:rFonts w:ascii="Arial" w:hAnsi="Arial" w:eastAsia="Arial"/>
                <w:color w:val="1F2937"/>
                <w:sz w:val="16"/>
              </w:rPr>
              <w:t>Hypothesis test (HL)</w:t>
            </w:r>
          </w:p>
        </w:tc>
        <w:tc>
          <w:tcPr>
            <w:tcW w:type="dxa" w:w="3888"/>
            <w:vAlign w:val="center"/>
            <w:shd w:fill="F8FAFC"/>
          </w:tcPr>
          <w:p>
            <w:pPr>
              <w:spacing w:before="0" w:after="20" w:line="240" w:lineRule="auto"/>
            </w:pPr>
            <w:r>
              <w:rPr>
                <w:rFonts w:ascii="Arial" w:hAnsi="Arial" w:eastAsia="Arial"/>
                <w:color w:val="1F2937"/>
                <w:sz w:val="16"/>
              </w:rPr>
              <w:t>Judge whether sample data provide evidence against a null hypothesis.</w:t>
            </w:r>
          </w:p>
        </w:tc>
        <w:tc>
          <w:tcPr>
            <w:tcW w:type="dxa" w:w="3456"/>
            <w:vAlign w:val="center"/>
            <w:shd w:fill="F8FAFC"/>
          </w:tcPr>
          <w:p>
            <w:pPr>
              <w:spacing w:before="0" w:after="20" w:line="240" w:lineRule="auto"/>
            </w:pPr>
            <w:r>
              <w:rPr>
                <w:rFonts w:ascii="Arial" w:hAnsi="Arial" w:eastAsia="Arial"/>
                <w:color w:val="1F2937"/>
                <w:sz w:val="16"/>
              </w:rPr>
              <w:t>Use p-value/critical value correctly and conclude in context.</w:t>
            </w:r>
          </w:p>
        </w:tc>
      </w:tr>
      <w:tr>
        <w:tc>
          <w:tcPr>
            <w:tcW w:type="dxa" w:w="2304"/>
            <w:vAlign w:val="center"/>
          </w:tcPr>
          <w:p>
            <w:pPr>
              <w:spacing w:before="0" w:after="20" w:line="240" w:lineRule="auto"/>
            </w:pPr>
            <w:r>
              <w:rPr>
                <w:rFonts w:ascii="Arial" w:hAnsi="Arial" w:eastAsia="Arial"/>
                <w:color w:val="1F2937"/>
                <w:sz w:val="16"/>
              </w:rPr>
              <w:t>Derivative</w:t>
            </w:r>
          </w:p>
        </w:tc>
        <w:tc>
          <w:tcPr>
            <w:tcW w:type="dxa" w:w="3888"/>
            <w:vAlign w:val="center"/>
          </w:tcPr>
          <w:p>
            <w:pPr>
              <w:spacing w:before="0" w:after="20" w:line="240" w:lineRule="auto"/>
            </w:pPr>
            <w:r>
              <w:rPr>
                <w:rFonts w:ascii="Arial" w:hAnsi="Arial" w:eastAsia="Arial"/>
                <w:color w:val="1F2937"/>
                <w:sz w:val="16"/>
              </w:rPr>
              <w:t>Rate of change, gradient, optimization, tangent, increasing/decreasing.</w:t>
            </w:r>
          </w:p>
        </w:tc>
        <w:tc>
          <w:tcPr>
            <w:tcW w:type="dxa" w:w="3456"/>
            <w:vAlign w:val="center"/>
          </w:tcPr>
          <w:p>
            <w:pPr>
              <w:spacing w:before="0" w:after="20" w:line="240" w:lineRule="auto"/>
            </w:pPr>
            <w:r>
              <w:rPr>
                <w:rFonts w:ascii="Arial" w:hAnsi="Arial" w:eastAsia="Arial"/>
                <w:color w:val="1F2937"/>
                <w:sz w:val="16"/>
              </w:rPr>
              <w:t>A derivative alone is not a final contextual answer.</w:t>
            </w:r>
          </w:p>
        </w:tc>
      </w:tr>
      <w:tr>
        <w:tc>
          <w:tcPr>
            <w:tcW w:type="dxa" w:w="2304"/>
            <w:vAlign w:val="center"/>
            <w:shd w:fill="F8FAFC"/>
          </w:tcPr>
          <w:p>
            <w:pPr>
              <w:spacing w:before="0" w:after="20" w:line="240" w:lineRule="auto"/>
            </w:pPr>
            <w:r>
              <w:rPr>
                <w:rFonts w:ascii="Arial" w:hAnsi="Arial" w:eastAsia="Arial"/>
                <w:color w:val="1F2937"/>
                <w:sz w:val="16"/>
              </w:rPr>
              <w:t>Integral</w:t>
            </w:r>
          </w:p>
        </w:tc>
        <w:tc>
          <w:tcPr>
            <w:tcW w:type="dxa" w:w="3888"/>
            <w:vAlign w:val="center"/>
            <w:shd w:fill="F8FAFC"/>
          </w:tcPr>
          <w:p>
            <w:pPr>
              <w:spacing w:before="0" w:after="20" w:line="240" w:lineRule="auto"/>
            </w:pPr>
            <w:r>
              <w:rPr>
                <w:rFonts w:ascii="Arial" w:hAnsi="Arial" w:eastAsia="Arial"/>
                <w:color w:val="1F2937"/>
                <w:sz w:val="16"/>
              </w:rPr>
              <w:t>Area, accumulation, total change, average value with adjustment.</w:t>
            </w:r>
          </w:p>
        </w:tc>
        <w:tc>
          <w:tcPr>
            <w:tcW w:type="dxa" w:w="3456"/>
            <w:vAlign w:val="center"/>
            <w:shd w:fill="F8FAFC"/>
          </w:tcPr>
          <w:p>
            <w:pPr>
              <w:spacing w:before="0" w:after="20" w:line="240" w:lineRule="auto"/>
            </w:pPr>
            <w:r>
              <w:rPr>
                <w:rFonts w:ascii="Arial" w:hAnsi="Arial" w:eastAsia="Arial"/>
                <w:color w:val="1F2937"/>
                <w:sz w:val="16"/>
              </w:rPr>
              <w:t>Units become accumulated units, e.g., m/s × s = m.</w:t>
            </w:r>
          </w:p>
        </w:tc>
      </w:tr>
      <w:tr>
        <w:tc>
          <w:tcPr>
            <w:tcW w:type="dxa" w:w="2304"/>
            <w:vAlign w:val="center"/>
          </w:tcPr>
          <w:p>
            <w:pPr>
              <w:spacing w:before="0" w:after="20" w:line="240" w:lineRule="auto"/>
            </w:pPr>
            <w:r>
              <w:rPr>
                <w:rFonts w:ascii="Arial" w:hAnsi="Arial" w:eastAsia="Arial"/>
                <w:color w:val="1F2937"/>
                <w:sz w:val="16"/>
              </w:rPr>
              <w:t>Matrix/Markov chain (HL)</w:t>
            </w:r>
          </w:p>
        </w:tc>
        <w:tc>
          <w:tcPr>
            <w:tcW w:type="dxa" w:w="3888"/>
            <w:vAlign w:val="center"/>
          </w:tcPr>
          <w:p>
            <w:pPr>
              <w:spacing w:before="0" w:after="20" w:line="240" w:lineRule="auto"/>
            </w:pPr>
            <w:r>
              <w:rPr>
                <w:rFonts w:ascii="Arial" w:hAnsi="Arial" w:eastAsia="Arial"/>
                <w:color w:val="1F2937"/>
                <w:sz w:val="16"/>
              </w:rPr>
              <w:t>State transitions, networks, systems, and long-run behaviour.</w:t>
            </w:r>
          </w:p>
        </w:tc>
        <w:tc>
          <w:tcPr>
            <w:tcW w:type="dxa" w:w="3456"/>
            <w:vAlign w:val="center"/>
          </w:tcPr>
          <w:p>
            <w:pPr>
              <w:spacing w:before="0" w:after="20" w:line="240" w:lineRule="auto"/>
            </w:pPr>
            <w:r>
              <w:rPr>
                <w:rFonts w:ascii="Arial" w:hAnsi="Arial" w:eastAsia="Arial"/>
                <w:color w:val="1F2937"/>
                <w:sz w:val="16"/>
              </w:rPr>
              <w:t>Rows/columns must match your convention and probabilities sum correctly.</w:t>
            </w:r>
          </w:p>
        </w:tc>
      </w:tr>
      <w:tr>
        <w:tc>
          <w:tcPr>
            <w:tcW w:type="dxa" w:w="2304"/>
            <w:vAlign w:val="center"/>
            <w:shd w:fill="F8FAFC"/>
          </w:tcPr>
          <w:p>
            <w:pPr>
              <w:spacing w:before="0" w:after="20" w:line="240" w:lineRule="auto"/>
            </w:pPr>
            <w:r>
              <w:rPr>
                <w:rFonts w:ascii="Arial" w:hAnsi="Arial" w:eastAsia="Arial"/>
                <w:color w:val="1F2937"/>
                <w:sz w:val="16"/>
              </w:rPr>
              <w:t>Graph theory (HL)</w:t>
            </w:r>
          </w:p>
        </w:tc>
        <w:tc>
          <w:tcPr>
            <w:tcW w:type="dxa" w:w="3888"/>
            <w:vAlign w:val="center"/>
            <w:shd w:fill="F8FAFC"/>
          </w:tcPr>
          <w:p>
            <w:pPr>
              <w:spacing w:before="0" w:after="20" w:line="240" w:lineRule="auto"/>
            </w:pPr>
            <w:r>
              <w:rPr>
                <w:rFonts w:ascii="Arial" w:hAnsi="Arial" w:eastAsia="Arial"/>
                <w:color w:val="1F2937"/>
                <w:sz w:val="16"/>
              </w:rPr>
              <w:t>Networks, routing, minimum connections, scheduling/optimization.</w:t>
            </w:r>
          </w:p>
        </w:tc>
        <w:tc>
          <w:tcPr>
            <w:tcW w:type="dxa" w:w="3456"/>
            <w:vAlign w:val="center"/>
            <w:shd w:fill="F8FAFC"/>
          </w:tcPr>
          <w:p>
            <w:pPr>
              <w:spacing w:before="0" w:after="20" w:line="240" w:lineRule="auto"/>
            </w:pPr>
            <w:r>
              <w:rPr>
                <w:rFonts w:ascii="Arial" w:hAnsi="Arial" w:eastAsia="Arial"/>
                <w:color w:val="1F2937"/>
                <w:sz w:val="16"/>
              </w:rPr>
              <w:t>Name the algorithm and justify the route/tree/cycle chosen.</w:t>
            </w:r>
          </w:p>
        </w:tc>
      </w:tr>
    </w:tbl>
    <w:p/>
    <w:p>
      <w:r>
        <w:br w:type="page"/>
      </w:r>
    </w:p>
    <w:p>
      <w:pPr>
        <w:pStyle w:val="Heading1"/>
        <w:spacing w:before="120" w:after="120" w:line="240" w:lineRule="auto"/>
      </w:pPr>
      <w:r>
        <w:t>5. High-yield important topics</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2016"/>
            <w:shd w:fill="0E9AA7"/>
            <w:vAlign w:val="center"/>
          </w:tcPr>
          <w:p>
            <w:pPr>
              <w:spacing w:before="0" w:after="20" w:line="240" w:lineRule="auto"/>
            </w:pPr>
            <w:r>
              <w:rPr>
                <w:b/>
                <w:color w:val="FFFFFF"/>
                <w:sz w:val="16"/>
              </w:rPr>
              <w:t>Topic</w:t>
            </w:r>
          </w:p>
        </w:tc>
        <w:tc>
          <w:tcPr>
            <w:tcW w:type="dxa" w:w="4608"/>
            <w:shd w:fill="0E9AA7"/>
            <w:vAlign w:val="center"/>
          </w:tcPr>
          <w:p>
            <w:pPr>
              <w:spacing w:before="0" w:after="20" w:line="240" w:lineRule="auto"/>
            </w:pPr>
            <w:r>
              <w:rPr>
                <w:b/>
                <w:color w:val="FFFFFF"/>
                <w:sz w:val="16"/>
              </w:rPr>
              <w:t>What to master</w:t>
            </w:r>
          </w:p>
        </w:tc>
        <w:tc>
          <w:tcPr>
            <w:tcW w:type="dxa" w:w="3168"/>
            <w:shd w:fill="0E9AA7"/>
            <w:vAlign w:val="center"/>
          </w:tcPr>
          <w:p>
            <w:pPr>
              <w:spacing w:before="0" w:after="20" w:line="240" w:lineRule="auto"/>
            </w:pPr>
            <w:r>
              <w:rPr>
                <w:b/>
                <w:color w:val="FFFFFF"/>
                <w:sz w:val="16"/>
              </w:rPr>
              <w:t>Why it matters</w:t>
            </w:r>
          </w:p>
        </w:tc>
      </w:tr>
      <w:tr>
        <w:tc>
          <w:tcPr>
            <w:tcW w:type="dxa" w:w="2016"/>
            <w:vAlign w:val="center"/>
          </w:tcPr>
          <w:p>
            <w:pPr>
              <w:spacing w:before="0" w:after="20" w:line="240" w:lineRule="auto"/>
            </w:pPr>
            <w:r>
              <w:rPr>
                <w:rFonts w:ascii="Arial" w:hAnsi="Arial" w:eastAsia="Arial"/>
                <w:color w:val="1F2937"/>
                <w:sz w:val="16"/>
              </w:rPr>
              <w:t>Technology fluency</w:t>
            </w:r>
          </w:p>
        </w:tc>
        <w:tc>
          <w:tcPr>
            <w:tcW w:type="dxa" w:w="4608"/>
            <w:vAlign w:val="center"/>
          </w:tcPr>
          <w:p>
            <w:pPr>
              <w:spacing w:before="0" w:after="20" w:line="240" w:lineRule="auto"/>
            </w:pPr>
            <w:r>
              <w:rPr>
                <w:rFonts w:ascii="Arial" w:hAnsi="Arial" w:eastAsia="Arial"/>
                <w:color w:val="1F2937"/>
                <w:sz w:val="16"/>
              </w:rPr>
              <w:t>GDC graphing windows, regression, distributions, matrices, numerical solve, derivatives/integrals.</w:t>
            </w:r>
          </w:p>
        </w:tc>
        <w:tc>
          <w:tcPr>
            <w:tcW w:type="dxa" w:w="3168"/>
            <w:vAlign w:val="center"/>
          </w:tcPr>
          <w:p>
            <w:pPr>
              <w:spacing w:before="0" w:after="20" w:line="240" w:lineRule="auto"/>
            </w:pPr>
            <w:r>
              <w:rPr>
                <w:rFonts w:ascii="Arial" w:hAnsi="Arial" w:eastAsia="Arial"/>
                <w:color w:val="1F2937"/>
                <w:sz w:val="16"/>
              </w:rPr>
              <w:t>Students must explain inputs and outputs, not just copy calculator screens.</w:t>
            </w:r>
          </w:p>
        </w:tc>
      </w:tr>
      <w:tr>
        <w:tc>
          <w:tcPr>
            <w:tcW w:type="dxa" w:w="2016"/>
            <w:vAlign w:val="center"/>
            <w:shd w:fill="F8FAFC"/>
          </w:tcPr>
          <w:p>
            <w:pPr>
              <w:spacing w:before="0" w:after="20" w:line="240" w:lineRule="auto"/>
            </w:pPr>
            <w:r>
              <w:rPr>
                <w:rFonts w:ascii="Arial" w:hAnsi="Arial" w:eastAsia="Arial"/>
                <w:color w:val="1F2937"/>
                <w:sz w:val="16"/>
              </w:rPr>
              <w:t>Parameter interpretation</w:t>
            </w:r>
          </w:p>
        </w:tc>
        <w:tc>
          <w:tcPr>
            <w:tcW w:type="dxa" w:w="4608"/>
            <w:vAlign w:val="center"/>
            <w:shd w:fill="F8FAFC"/>
          </w:tcPr>
          <w:p>
            <w:pPr>
              <w:spacing w:before="0" w:after="20" w:line="240" w:lineRule="auto"/>
            </w:pPr>
            <w:r>
              <w:rPr>
                <w:rFonts w:ascii="Arial" w:hAnsi="Arial" w:eastAsia="Arial"/>
                <w:color w:val="1F2937"/>
                <w:sz w:val="16"/>
              </w:rPr>
              <w:t>Slope, intercept, growth factor, amplitude, period, carrying capacity, mean, standard deviation.</w:t>
            </w:r>
          </w:p>
        </w:tc>
        <w:tc>
          <w:tcPr>
            <w:tcW w:type="dxa" w:w="3168"/>
            <w:vAlign w:val="center"/>
            <w:shd w:fill="F8FAFC"/>
          </w:tcPr>
          <w:p>
            <w:pPr>
              <w:spacing w:before="0" w:after="20" w:line="240" w:lineRule="auto"/>
            </w:pPr>
            <w:r>
              <w:rPr>
                <w:rFonts w:ascii="Arial" w:hAnsi="Arial" w:eastAsia="Arial"/>
                <w:color w:val="1F2937"/>
                <w:sz w:val="16"/>
              </w:rPr>
              <w:t>Every parameter should have a unit/context sentence.</w:t>
            </w:r>
          </w:p>
        </w:tc>
      </w:tr>
      <w:tr>
        <w:tc>
          <w:tcPr>
            <w:tcW w:type="dxa" w:w="2016"/>
            <w:vAlign w:val="center"/>
          </w:tcPr>
          <w:p>
            <w:pPr>
              <w:spacing w:before="0" w:after="20" w:line="240" w:lineRule="auto"/>
            </w:pPr>
            <w:r>
              <w:rPr>
                <w:rFonts w:ascii="Arial" w:hAnsi="Arial" w:eastAsia="Arial"/>
                <w:color w:val="1F2937"/>
                <w:sz w:val="16"/>
              </w:rPr>
              <w:t>Assumptions and limitations</w:t>
            </w:r>
          </w:p>
        </w:tc>
        <w:tc>
          <w:tcPr>
            <w:tcW w:type="dxa" w:w="4608"/>
            <w:vAlign w:val="center"/>
          </w:tcPr>
          <w:p>
            <w:pPr>
              <w:spacing w:before="0" w:after="20" w:line="240" w:lineRule="auto"/>
            </w:pPr>
            <w:r>
              <w:rPr>
                <w:rFonts w:ascii="Arial" w:hAnsi="Arial" w:eastAsia="Arial"/>
                <w:color w:val="1F2937"/>
                <w:sz w:val="16"/>
              </w:rPr>
              <w:t>Sampling method, independence, model domain, measurement error, outliers, extrapolation.</w:t>
            </w:r>
          </w:p>
        </w:tc>
        <w:tc>
          <w:tcPr>
            <w:tcW w:type="dxa" w:w="3168"/>
            <w:vAlign w:val="center"/>
          </w:tcPr>
          <w:p>
            <w:pPr>
              <w:spacing w:before="0" w:after="20" w:line="240" w:lineRule="auto"/>
            </w:pPr>
            <w:r>
              <w:rPr>
                <w:rFonts w:ascii="Arial" w:hAnsi="Arial" w:eastAsia="Arial"/>
                <w:color w:val="1F2937"/>
                <w:sz w:val="16"/>
              </w:rPr>
              <w:t>Include in IA and long-response questions.</w:t>
            </w:r>
          </w:p>
        </w:tc>
      </w:tr>
      <w:tr>
        <w:tc>
          <w:tcPr>
            <w:tcW w:type="dxa" w:w="2016"/>
            <w:vAlign w:val="center"/>
            <w:shd w:fill="F8FAFC"/>
          </w:tcPr>
          <w:p>
            <w:pPr>
              <w:spacing w:before="0" w:after="20" w:line="240" w:lineRule="auto"/>
            </w:pPr>
            <w:r>
              <w:rPr>
                <w:rFonts w:ascii="Arial" w:hAnsi="Arial" w:eastAsia="Arial"/>
                <w:color w:val="1F2937"/>
                <w:sz w:val="16"/>
              </w:rPr>
              <w:t>Communication</w:t>
            </w:r>
          </w:p>
        </w:tc>
        <w:tc>
          <w:tcPr>
            <w:tcW w:type="dxa" w:w="4608"/>
            <w:vAlign w:val="center"/>
            <w:shd w:fill="F8FAFC"/>
          </w:tcPr>
          <w:p>
            <w:pPr>
              <w:spacing w:before="0" w:after="20" w:line="240" w:lineRule="auto"/>
            </w:pPr>
            <w:r>
              <w:rPr>
                <w:rFonts w:ascii="Arial" w:hAnsi="Arial" w:eastAsia="Arial"/>
                <w:color w:val="1F2937"/>
                <w:sz w:val="16"/>
              </w:rPr>
              <w:t>Definitions, diagrams, units, significant figures, conclusion in context.</w:t>
            </w:r>
          </w:p>
        </w:tc>
        <w:tc>
          <w:tcPr>
            <w:tcW w:type="dxa" w:w="3168"/>
            <w:vAlign w:val="center"/>
            <w:shd w:fill="F8FAFC"/>
          </w:tcPr>
          <w:p>
            <w:pPr>
              <w:spacing w:before="0" w:after="20" w:line="240" w:lineRule="auto"/>
            </w:pPr>
            <w:r>
              <w:rPr>
                <w:rFonts w:ascii="Arial" w:hAnsi="Arial" w:eastAsia="Arial"/>
                <w:color w:val="1F2937"/>
                <w:sz w:val="16"/>
              </w:rPr>
              <w:t>Marks are often lost for unsupported answers.</w:t>
            </w:r>
          </w:p>
        </w:tc>
      </w:tr>
      <w:tr>
        <w:tc>
          <w:tcPr>
            <w:tcW w:type="dxa" w:w="2016"/>
            <w:vAlign w:val="center"/>
          </w:tcPr>
          <w:p>
            <w:pPr>
              <w:spacing w:before="0" w:after="20" w:line="240" w:lineRule="auto"/>
            </w:pPr>
            <w:r>
              <w:rPr>
                <w:rFonts w:ascii="Arial" w:hAnsi="Arial" w:eastAsia="Arial"/>
                <w:color w:val="1F2937"/>
                <w:sz w:val="16"/>
              </w:rPr>
              <w:t>Mixed-topic links</w:t>
            </w:r>
          </w:p>
        </w:tc>
        <w:tc>
          <w:tcPr>
            <w:tcW w:type="dxa" w:w="4608"/>
            <w:vAlign w:val="center"/>
          </w:tcPr>
          <w:p>
            <w:pPr>
              <w:spacing w:before="0" w:after="20" w:line="240" w:lineRule="auto"/>
            </w:pPr>
            <w:r>
              <w:rPr>
                <w:rFonts w:ascii="Arial" w:hAnsi="Arial" w:eastAsia="Arial"/>
                <w:color w:val="1F2937"/>
                <w:sz w:val="16"/>
              </w:rPr>
              <w:t>Functions with calculus; statistics with technology; matrices with probability; geometry with optimization.</w:t>
            </w:r>
          </w:p>
        </w:tc>
        <w:tc>
          <w:tcPr>
            <w:tcW w:type="dxa" w:w="3168"/>
            <w:vAlign w:val="center"/>
          </w:tcPr>
          <w:p>
            <w:pPr>
              <w:spacing w:before="0" w:after="20" w:line="240" w:lineRule="auto"/>
            </w:pPr>
            <w:r>
              <w:rPr>
                <w:rFonts w:ascii="Arial" w:hAnsi="Arial" w:eastAsia="Arial"/>
                <w:color w:val="1F2937"/>
                <w:sz w:val="16"/>
              </w:rPr>
              <w:t>HL Paper 3 especially rewards connected thinking.</w:t>
            </w:r>
          </w:p>
        </w:tc>
      </w:tr>
      <w:tr>
        <w:tc>
          <w:tcPr>
            <w:tcW w:type="dxa" w:w="2016"/>
            <w:vAlign w:val="center"/>
            <w:shd w:fill="F8FAFC"/>
          </w:tcPr>
          <w:p>
            <w:pPr>
              <w:spacing w:before="0" w:after="20" w:line="240" w:lineRule="auto"/>
            </w:pPr>
            <w:r>
              <w:rPr>
                <w:rFonts w:ascii="Arial" w:hAnsi="Arial" w:eastAsia="Arial"/>
                <w:color w:val="1F2937"/>
                <w:sz w:val="16"/>
              </w:rPr>
              <w:t>Error management</w:t>
            </w:r>
          </w:p>
        </w:tc>
        <w:tc>
          <w:tcPr>
            <w:tcW w:type="dxa" w:w="4608"/>
            <w:vAlign w:val="center"/>
            <w:shd w:fill="F8FAFC"/>
          </w:tcPr>
          <w:p>
            <w:pPr>
              <w:spacing w:before="0" w:after="20" w:line="240" w:lineRule="auto"/>
            </w:pPr>
            <w:r>
              <w:rPr>
                <w:rFonts w:ascii="Arial" w:hAnsi="Arial" w:eastAsia="Arial"/>
                <w:color w:val="1F2937"/>
                <w:sz w:val="16"/>
              </w:rPr>
              <w:t>Mode errors, rounding, wrong variable, invalid model, p-value wording, omitted units.</w:t>
            </w:r>
          </w:p>
        </w:tc>
        <w:tc>
          <w:tcPr>
            <w:tcW w:type="dxa" w:w="3168"/>
            <w:vAlign w:val="center"/>
            <w:shd w:fill="F8FAFC"/>
          </w:tcPr>
          <w:p>
            <w:pPr>
              <w:spacing w:before="0" w:after="20" w:line="240" w:lineRule="auto"/>
            </w:pPr>
            <w:r>
              <w:rPr>
                <w:rFonts w:ascii="Arial" w:hAnsi="Arial" w:eastAsia="Arial"/>
                <w:color w:val="1F2937"/>
                <w:sz w:val="16"/>
              </w:rPr>
              <w:t>Keep an error log and repeat similar questions.</w:t>
            </w:r>
          </w:p>
        </w:tc>
      </w:tr>
      <w:tr>
        <w:tc>
          <w:tcPr>
            <w:tcW w:type="dxa" w:w="2016"/>
            <w:vAlign w:val="center"/>
          </w:tcPr>
          <w:p>
            <w:pPr>
              <w:spacing w:before="0" w:after="20" w:line="240" w:lineRule="auto"/>
            </w:pPr>
            <w:r>
              <w:rPr>
                <w:rFonts w:ascii="Arial" w:hAnsi="Arial" w:eastAsia="Arial"/>
                <w:color w:val="1F2937"/>
                <w:sz w:val="16"/>
              </w:rPr>
              <w:t>IA readiness</w:t>
            </w:r>
          </w:p>
        </w:tc>
        <w:tc>
          <w:tcPr>
            <w:tcW w:type="dxa" w:w="4608"/>
            <w:vAlign w:val="center"/>
          </w:tcPr>
          <w:p>
            <w:pPr>
              <w:spacing w:before="0" w:after="20" w:line="240" w:lineRule="auto"/>
            </w:pPr>
            <w:r>
              <w:rPr>
                <w:rFonts w:ascii="Arial" w:hAnsi="Arial" w:eastAsia="Arial"/>
                <w:color w:val="1F2937"/>
                <w:sz w:val="16"/>
              </w:rPr>
              <w:t>Problem specification, mathematical plan, computation, interpretation, reflection.</w:t>
            </w:r>
          </w:p>
        </w:tc>
        <w:tc>
          <w:tcPr>
            <w:tcW w:type="dxa" w:w="3168"/>
            <w:vAlign w:val="center"/>
          </w:tcPr>
          <w:p>
            <w:pPr>
              <w:spacing w:before="0" w:after="20" w:line="240" w:lineRule="auto"/>
            </w:pPr>
            <w:r>
              <w:rPr>
                <w:rFonts w:ascii="Arial" w:hAnsi="Arial" w:eastAsia="Arial"/>
                <w:color w:val="1F2937"/>
                <w:sz w:val="16"/>
              </w:rPr>
              <w:t>Choose a question that requires mathematics, not a descriptive report.</w:t>
            </w:r>
          </w:p>
        </w:tc>
      </w:tr>
    </w:tbl>
    <w:p/>
    <w:p>
      <w:r>
        <w:br w:type="page"/>
      </w:r>
    </w:p>
    <w:p>
      <w:pPr>
        <w:pStyle w:val="Heading1"/>
        <w:spacing w:before="120" w:after="120" w:line="240" w:lineRule="auto"/>
      </w:pPr>
      <w:r>
        <w:t>6. Common formula traps</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1872"/>
            <w:shd w:fill="0B3954"/>
            <w:vAlign w:val="center"/>
          </w:tcPr>
          <w:p>
            <w:pPr>
              <w:spacing w:before="0" w:after="20" w:line="240" w:lineRule="auto"/>
            </w:pPr>
            <w:r>
              <w:rPr>
                <w:b/>
                <w:color w:val="FFFFFF"/>
                <w:sz w:val="16"/>
              </w:rPr>
              <w:t>Area</w:t>
            </w:r>
          </w:p>
        </w:tc>
        <w:tc>
          <w:tcPr>
            <w:tcW w:type="dxa" w:w="4320"/>
            <w:shd w:fill="0B3954"/>
            <w:vAlign w:val="center"/>
          </w:tcPr>
          <w:p>
            <w:pPr>
              <w:spacing w:before="0" w:after="20" w:line="240" w:lineRule="auto"/>
            </w:pPr>
            <w:r>
              <w:rPr>
                <w:b/>
                <w:color w:val="FFFFFF"/>
                <w:sz w:val="16"/>
              </w:rPr>
              <w:t>Trap</w:t>
            </w:r>
          </w:p>
        </w:tc>
        <w:tc>
          <w:tcPr>
            <w:tcW w:type="dxa" w:w="3456"/>
            <w:shd w:fill="0B3954"/>
            <w:vAlign w:val="center"/>
          </w:tcPr>
          <w:p>
            <w:pPr>
              <w:spacing w:before="0" w:after="20" w:line="240" w:lineRule="auto"/>
            </w:pPr>
            <w:r>
              <w:rPr>
                <w:b/>
                <w:color w:val="FFFFFF"/>
                <w:sz w:val="16"/>
              </w:rPr>
              <w:t>Fix</w:t>
            </w:r>
          </w:p>
        </w:tc>
      </w:tr>
      <w:tr>
        <w:tc>
          <w:tcPr>
            <w:tcW w:type="dxa" w:w="1872"/>
            <w:vAlign w:val="center"/>
          </w:tcPr>
          <w:p>
            <w:pPr>
              <w:spacing w:before="0" w:after="20" w:line="240" w:lineRule="auto"/>
            </w:pPr>
            <w:r>
              <w:rPr>
                <w:rFonts w:ascii="Arial" w:hAnsi="Arial" w:eastAsia="Arial"/>
                <w:color w:val="1F2937"/>
                <w:sz w:val="16"/>
              </w:rPr>
              <w:t>Finance</w:t>
            </w:r>
          </w:p>
        </w:tc>
        <w:tc>
          <w:tcPr>
            <w:tcW w:type="dxa" w:w="4320"/>
            <w:vAlign w:val="center"/>
          </w:tcPr>
          <w:p>
            <w:pPr>
              <w:spacing w:before="0" w:after="20" w:line="240" w:lineRule="auto"/>
            </w:pPr>
            <w:r>
              <w:rPr>
                <w:rFonts w:ascii="Arial" w:hAnsi="Arial" w:eastAsia="Arial"/>
                <w:color w:val="1F2937"/>
                <w:sz w:val="16"/>
              </w:rPr>
              <w:t>Using nominal annual rate as period rate.</w:t>
            </w:r>
          </w:p>
        </w:tc>
        <w:tc>
          <w:tcPr>
            <w:tcW w:type="dxa" w:w="3456"/>
            <w:vAlign w:val="center"/>
          </w:tcPr>
          <w:p>
            <w:pPr>
              <w:spacing w:before="0" w:after="20" w:line="240" w:lineRule="auto"/>
            </w:pPr>
            <w:r>
              <w:rPr>
                <w:rFonts w:ascii="Arial" w:hAnsi="Arial" w:eastAsia="Arial"/>
                <w:color w:val="1F2937"/>
                <w:sz w:val="16"/>
              </w:rPr>
              <w:t>Convert the rate to match compounding/payment period.</w:t>
            </w:r>
          </w:p>
        </w:tc>
      </w:tr>
      <w:tr>
        <w:tc>
          <w:tcPr>
            <w:tcW w:type="dxa" w:w="1872"/>
            <w:vAlign w:val="center"/>
            <w:shd w:fill="F8FAFC"/>
          </w:tcPr>
          <w:p>
            <w:pPr>
              <w:spacing w:before="0" w:after="20" w:line="240" w:lineRule="auto"/>
            </w:pPr>
            <w:r>
              <w:rPr>
                <w:rFonts w:ascii="Arial" w:hAnsi="Arial" w:eastAsia="Arial"/>
                <w:color w:val="1F2937"/>
                <w:sz w:val="16"/>
              </w:rPr>
              <w:t>Sequences</w:t>
            </w:r>
          </w:p>
        </w:tc>
        <w:tc>
          <w:tcPr>
            <w:tcW w:type="dxa" w:w="4320"/>
            <w:vAlign w:val="center"/>
            <w:shd w:fill="F8FAFC"/>
          </w:tcPr>
          <w:p>
            <w:pPr>
              <w:spacing w:before="0" w:after="20" w:line="240" w:lineRule="auto"/>
            </w:pPr>
            <w:r>
              <w:rPr>
                <w:rFonts w:ascii="Arial" w:hAnsi="Arial" w:eastAsia="Arial"/>
                <w:color w:val="1F2937"/>
                <w:sz w:val="16"/>
              </w:rPr>
              <w:t>Starting n at 0 instead of 1.</w:t>
            </w:r>
          </w:p>
        </w:tc>
        <w:tc>
          <w:tcPr>
            <w:tcW w:type="dxa" w:w="3456"/>
            <w:vAlign w:val="center"/>
            <w:shd w:fill="F8FAFC"/>
          </w:tcPr>
          <w:p>
            <w:pPr>
              <w:spacing w:before="0" w:after="20" w:line="240" w:lineRule="auto"/>
            </w:pPr>
            <w:r>
              <w:rPr>
                <w:rFonts w:ascii="Arial" w:hAnsi="Arial" w:eastAsia="Arial"/>
                <w:color w:val="1F2937"/>
                <w:sz w:val="16"/>
              </w:rPr>
              <w:t>Check the first term given and define n.</w:t>
            </w:r>
          </w:p>
        </w:tc>
      </w:tr>
      <w:tr>
        <w:tc>
          <w:tcPr>
            <w:tcW w:type="dxa" w:w="1872"/>
            <w:vAlign w:val="center"/>
          </w:tcPr>
          <w:p>
            <w:pPr>
              <w:spacing w:before="0" w:after="20" w:line="240" w:lineRule="auto"/>
            </w:pPr>
            <w:r>
              <w:rPr>
                <w:rFonts w:ascii="Arial" w:hAnsi="Arial" w:eastAsia="Arial"/>
                <w:color w:val="1F2937"/>
                <w:sz w:val="16"/>
              </w:rPr>
              <w:t>Logs</w:t>
            </w:r>
          </w:p>
        </w:tc>
        <w:tc>
          <w:tcPr>
            <w:tcW w:type="dxa" w:w="4320"/>
            <w:vAlign w:val="center"/>
          </w:tcPr>
          <w:p>
            <w:pPr>
              <w:spacing w:before="0" w:after="20" w:line="240" w:lineRule="auto"/>
            </w:pPr>
            <w:r>
              <w:rPr>
                <w:rFonts w:ascii="Arial" w:hAnsi="Arial" w:eastAsia="Arial"/>
                <w:color w:val="1F2937"/>
                <w:sz w:val="16"/>
              </w:rPr>
              <w:t>Taking log of a negative value or ignoring domain.</w:t>
            </w:r>
          </w:p>
        </w:tc>
        <w:tc>
          <w:tcPr>
            <w:tcW w:type="dxa" w:w="3456"/>
            <w:vAlign w:val="center"/>
          </w:tcPr>
          <w:p>
            <w:pPr>
              <w:spacing w:before="0" w:after="20" w:line="240" w:lineRule="auto"/>
            </w:pPr>
            <w:r>
              <w:rPr>
                <w:rFonts w:ascii="Arial" w:hAnsi="Arial" w:eastAsia="Arial"/>
                <w:color w:val="1F2937"/>
                <w:sz w:val="16"/>
              </w:rPr>
              <w:t>State domain restrictions before solving.</w:t>
            </w:r>
          </w:p>
        </w:tc>
      </w:tr>
      <w:tr>
        <w:tc>
          <w:tcPr>
            <w:tcW w:type="dxa" w:w="1872"/>
            <w:vAlign w:val="center"/>
            <w:shd w:fill="F8FAFC"/>
          </w:tcPr>
          <w:p>
            <w:pPr>
              <w:spacing w:before="0" w:after="20" w:line="240" w:lineRule="auto"/>
            </w:pPr>
            <w:r>
              <w:rPr>
                <w:rFonts w:ascii="Arial" w:hAnsi="Arial" w:eastAsia="Arial"/>
                <w:color w:val="1F2937"/>
                <w:sz w:val="16"/>
              </w:rPr>
              <w:t>Trig</w:t>
            </w:r>
          </w:p>
        </w:tc>
        <w:tc>
          <w:tcPr>
            <w:tcW w:type="dxa" w:w="4320"/>
            <w:vAlign w:val="center"/>
            <w:shd w:fill="F8FAFC"/>
          </w:tcPr>
          <w:p>
            <w:pPr>
              <w:spacing w:before="0" w:after="20" w:line="240" w:lineRule="auto"/>
            </w:pPr>
            <w:r>
              <w:rPr>
                <w:rFonts w:ascii="Arial" w:hAnsi="Arial" w:eastAsia="Arial"/>
                <w:color w:val="1F2937"/>
                <w:sz w:val="16"/>
              </w:rPr>
              <w:t>Wrong calculator angle mode.</w:t>
            </w:r>
          </w:p>
        </w:tc>
        <w:tc>
          <w:tcPr>
            <w:tcW w:type="dxa" w:w="3456"/>
            <w:vAlign w:val="center"/>
            <w:shd w:fill="F8FAFC"/>
          </w:tcPr>
          <w:p>
            <w:pPr>
              <w:spacing w:before="0" w:after="20" w:line="240" w:lineRule="auto"/>
            </w:pPr>
            <w:r>
              <w:rPr>
                <w:rFonts w:ascii="Arial" w:hAnsi="Arial" w:eastAsia="Arial"/>
                <w:color w:val="1F2937"/>
                <w:sz w:val="16"/>
              </w:rPr>
              <w:t>Check degrees/radians before and after question.</w:t>
            </w:r>
          </w:p>
        </w:tc>
      </w:tr>
      <w:tr>
        <w:tc>
          <w:tcPr>
            <w:tcW w:type="dxa" w:w="1872"/>
            <w:vAlign w:val="center"/>
          </w:tcPr>
          <w:p>
            <w:pPr>
              <w:spacing w:before="0" w:after="20" w:line="240" w:lineRule="auto"/>
            </w:pPr>
            <w:r>
              <w:rPr>
                <w:rFonts w:ascii="Arial" w:hAnsi="Arial" w:eastAsia="Arial"/>
                <w:color w:val="1F2937"/>
                <w:sz w:val="16"/>
              </w:rPr>
              <w:t>Probability</w:t>
            </w:r>
          </w:p>
        </w:tc>
        <w:tc>
          <w:tcPr>
            <w:tcW w:type="dxa" w:w="4320"/>
            <w:vAlign w:val="center"/>
          </w:tcPr>
          <w:p>
            <w:pPr>
              <w:spacing w:before="0" w:after="20" w:line="240" w:lineRule="auto"/>
            </w:pPr>
            <w:r>
              <w:rPr>
                <w:rFonts w:ascii="Arial" w:hAnsi="Arial" w:eastAsia="Arial"/>
                <w:color w:val="1F2937"/>
                <w:sz w:val="16"/>
              </w:rPr>
              <w:t>Adding probabilities for overlapping events.</w:t>
            </w:r>
          </w:p>
        </w:tc>
        <w:tc>
          <w:tcPr>
            <w:tcW w:type="dxa" w:w="3456"/>
            <w:vAlign w:val="center"/>
          </w:tcPr>
          <w:p>
            <w:pPr>
              <w:spacing w:before="0" w:after="20" w:line="240" w:lineRule="auto"/>
            </w:pPr>
            <w:r>
              <w:rPr>
                <w:rFonts w:ascii="Arial" w:hAnsi="Arial" w:eastAsia="Arial"/>
                <w:color w:val="1F2937"/>
                <w:sz w:val="16"/>
              </w:rPr>
              <w:t>Use P(A ∪ B) = P(A) + P(B) - P(A ∩ B).</w:t>
            </w:r>
          </w:p>
        </w:tc>
      </w:tr>
      <w:tr>
        <w:tc>
          <w:tcPr>
            <w:tcW w:type="dxa" w:w="1872"/>
            <w:vAlign w:val="center"/>
            <w:shd w:fill="F8FAFC"/>
          </w:tcPr>
          <w:p>
            <w:pPr>
              <w:spacing w:before="0" w:after="20" w:line="240" w:lineRule="auto"/>
            </w:pPr>
            <w:r>
              <w:rPr>
                <w:rFonts w:ascii="Arial" w:hAnsi="Arial" w:eastAsia="Arial"/>
                <w:color w:val="1F2937"/>
                <w:sz w:val="16"/>
              </w:rPr>
              <w:t>Normal distribution</w:t>
            </w:r>
          </w:p>
        </w:tc>
        <w:tc>
          <w:tcPr>
            <w:tcW w:type="dxa" w:w="4320"/>
            <w:vAlign w:val="center"/>
            <w:shd w:fill="F8FAFC"/>
          </w:tcPr>
          <w:p>
            <w:pPr>
              <w:spacing w:before="0" w:after="20" w:line="240" w:lineRule="auto"/>
            </w:pPr>
            <w:r>
              <w:rPr>
                <w:rFonts w:ascii="Arial" w:hAnsi="Arial" w:eastAsia="Arial"/>
                <w:color w:val="1F2937"/>
                <w:sz w:val="16"/>
              </w:rPr>
              <w:t>Confusing value, z-score, and probability.</w:t>
            </w:r>
          </w:p>
        </w:tc>
        <w:tc>
          <w:tcPr>
            <w:tcW w:type="dxa" w:w="3456"/>
            <w:vAlign w:val="center"/>
            <w:shd w:fill="F8FAFC"/>
          </w:tcPr>
          <w:p>
            <w:pPr>
              <w:spacing w:before="0" w:after="20" w:line="240" w:lineRule="auto"/>
            </w:pPr>
            <w:r>
              <w:rPr>
                <w:rFonts w:ascii="Arial" w:hAnsi="Arial" w:eastAsia="Arial"/>
                <w:color w:val="1F2937"/>
                <w:sz w:val="16"/>
              </w:rPr>
              <w:t>Sketch the tail and label mean/standard deviation.</w:t>
            </w:r>
          </w:p>
        </w:tc>
      </w:tr>
      <w:tr>
        <w:tc>
          <w:tcPr>
            <w:tcW w:type="dxa" w:w="1872"/>
            <w:vAlign w:val="center"/>
          </w:tcPr>
          <w:p>
            <w:pPr>
              <w:spacing w:before="0" w:after="20" w:line="240" w:lineRule="auto"/>
            </w:pPr>
            <w:r>
              <w:rPr>
                <w:rFonts w:ascii="Arial" w:hAnsi="Arial" w:eastAsia="Arial"/>
                <w:color w:val="1F2937"/>
                <w:sz w:val="16"/>
              </w:rPr>
              <w:t>Hypothesis test</w:t>
            </w:r>
          </w:p>
        </w:tc>
        <w:tc>
          <w:tcPr>
            <w:tcW w:type="dxa" w:w="4320"/>
            <w:vAlign w:val="center"/>
          </w:tcPr>
          <w:p>
            <w:pPr>
              <w:spacing w:before="0" w:after="20" w:line="240" w:lineRule="auto"/>
            </w:pPr>
            <w:r>
              <w:rPr>
                <w:rFonts w:ascii="Arial" w:hAnsi="Arial" w:eastAsia="Arial"/>
                <w:color w:val="1F2937"/>
                <w:sz w:val="16"/>
              </w:rPr>
              <w:t>Saying the null is proved.</w:t>
            </w:r>
          </w:p>
        </w:tc>
        <w:tc>
          <w:tcPr>
            <w:tcW w:type="dxa" w:w="3456"/>
            <w:vAlign w:val="center"/>
          </w:tcPr>
          <w:p>
            <w:pPr>
              <w:spacing w:before="0" w:after="20" w:line="240" w:lineRule="auto"/>
            </w:pPr>
            <w:r>
              <w:rPr>
                <w:rFonts w:ascii="Arial" w:hAnsi="Arial" w:eastAsia="Arial"/>
                <w:color w:val="1F2937"/>
                <w:sz w:val="16"/>
              </w:rPr>
              <w:t>Write: evidence is sufficient/not sufficient to reject H0.</w:t>
            </w:r>
          </w:p>
        </w:tc>
      </w:tr>
      <w:tr>
        <w:tc>
          <w:tcPr>
            <w:tcW w:type="dxa" w:w="1872"/>
            <w:vAlign w:val="center"/>
            <w:shd w:fill="F8FAFC"/>
          </w:tcPr>
          <w:p>
            <w:pPr>
              <w:spacing w:before="0" w:after="20" w:line="240" w:lineRule="auto"/>
            </w:pPr>
            <w:r>
              <w:rPr>
                <w:rFonts w:ascii="Arial" w:hAnsi="Arial" w:eastAsia="Arial"/>
                <w:color w:val="1F2937"/>
                <w:sz w:val="16"/>
              </w:rPr>
              <w:t>Calculus</w:t>
            </w:r>
          </w:p>
        </w:tc>
        <w:tc>
          <w:tcPr>
            <w:tcW w:type="dxa" w:w="4320"/>
            <w:vAlign w:val="center"/>
            <w:shd w:fill="F8FAFC"/>
          </w:tcPr>
          <w:p>
            <w:pPr>
              <w:spacing w:before="0" w:after="20" w:line="240" w:lineRule="auto"/>
            </w:pPr>
            <w:r>
              <w:rPr>
                <w:rFonts w:ascii="Arial" w:hAnsi="Arial" w:eastAsia="Arial"/>
                <w:color w:val="1F2937"/>
                <w:sz w:val="16"/>
              </w:rPr>
              <w:t>Optimization without checking endpoint/domain.</w:t>
            </w:r>
          </w:p>
        </w:tc>
        <w:tc>
          <w:tcPr>
            <w:tcW w:type="dxa" w:w="3456"/>
            <w:vAlign w:val="center"/>
            <w:shd w:fill="F8FAFC"/>
          </w:tcPr>
          <w:p>
            <w:pPr>
              <w:spacing w:before="0" w:after="20" w:line="240" w:lineRule="auto"/>
            </w:pPr>
            <w:r>
              <w:rPr>
                <w:rFonts w:ascii="Arial" w:hAnsi="Arial" w:eastAsia="Arial"/>
                <w:color w:val="1F2937"/>
                <w:sz w:val="16"/>
              </w:rPr>
              <w:t>Test candidates and boundaries; answer in context.</w:t>
            </w:r>
          </w:p>
        </w:tc>
      </w:tr>
      <w:tr>
        <w:tc>
          <w:tcPr>
            <w:tcW w:type="dxa" w:w="1872"/>
            <w:vAlign w:val="center"/>
          </w:tcPr>
          <w:p>
            <w:pPr>
              <w:spacing w:before="0" w:after="20" w:line="240" w:lineRule="auto"/>
            </w:pPr>
            <w:r>
              <w:rPr>
                <w:rFonts w:ascii="Arial" w:hAnsi="Arial" w:eastAsia="Arial"/>
                <w:color w:val="1F2937"/>
                <w:sz w:val="16"/>
              </w:rPr>
              <w:t>Matrices</w:t>
            </w:r>
          </w:p>
        </w:tc>
        <w:tc>
          <w:tcPr>
            <w:tcW w:type="dxa" w:w="4320"/>
            <w:vAlign w:val="center"/>
          </w:tcPr>
          <w:p>
            <w:pPr>
              <w:spacing w:before="0" w:after="20" w:line="240" w:lineRule="auto"/>
            </w:pPr>
            <w:r>
              <w:rPr>
                <w:rFonts w:ascii="Arial" w:hAnsi="Arial" w:eastAsia="Arial"/>
                <w:color w:val="1F2937"/>
                <w:sz w:val="16"/>
              </w:rPr>
              <w:t>Multiplying in the wrong order.</w:t>
            </w:r>
          </w:p>
        </w:tc>
        <w:tc>
          <w:tcPr>
            <w:tcW w:type="dxa" w:w="3456"/>
            <w:vAlign w:val="center"/>
          </w:tcPr>
          <w:p>
            <w:pPr>
              <w:spacing w:before="0" w:after="20" w:line="240" w:lineRule="auto"/>
            </w:pPr>
            <w:r>
              <w:rPr>
                <w:rFonts w:ascii="Arial" w:hAnsi="Arial" w:eastAsia="Arial"/>
                <w:color w:val="1F2937"/>
                <w:sz w:val="16"/>
              </w:rPr>
              <w:t>Check dimensions and meaning of rows/columns.</w:t>
            </w:r>
          </w:p>
        </w:tc>
      </w:tr>
      <w:tr>
        <w:tc>
          <w:tcPr>
            <w:tcW w:type="dxa" w:w="1872"/>
            <w:vAlign w:val="center"/>
            <w:shd w:fill="F8FAFC"/>
          </w:tcPr>
          <w:p>
            <w:pPr>
              <w:spacing w:before="0" w:after="20" w:line="240" w:lineRule="auto"/>
            </w:pPr>
            <w:r>
              <w:rPr>
                <w:rFonts w:ascii="Arial" w:hAnsi="Arial" w:eastAsia="Arial"/>
                <w:color w:val="1F2937"/>
                <w:sz w:val="16"/>
              </w:rPr>
              <w:t>Regression</w:t>
            </w:r>
          </w:p>
        </w:tc>
        <w:tc>
          <w:tcPr>
            <w:tcW w:type="dxa" w:w="4320"/>
            <w:vAlign w:val="center"/>
            <w:shd w:fill="F8FAFC"/>
          </w:tcPr>
          <w:p>
            <w:pPr>
              <w:spacing w:before="0" w:after="20" w:line="240" w:lineRule="auto"/>
            </w:pPr>
            <w:r>
              <w:rPr>
                <w:rFonts w:ascii="Arial" w:hAnsi="Arial" w:eastAsia="Arial"/>
                <w:color w:val="1F2937"/>
                <w:sz w:val="16"/>
              </w:rPr>
              <w:t>Using R^2 alone for model choice.</w:t>
            </w:r>
          </w:p>
        </w:tc>
        <w:tc>
          <w:tcPr>
            <w:tcW w:type="dxa" w:w="3456"/>
            <w:vAlign w:val="center"/>
            <w:shd w:fill="F8FAFC"/>
          </w:tcPr>
          <w:p>
            <w:pPr>
              <w:spacing w:before="0" w:after="20" w:line="240" w:lineRule="auto"/>
            </w:pPr>
            <w:r>
              <w:rPr>
                <w:rFonts w:ascii="Arial" w:hAnsi="Arial" w:eastAsia="Arial"/>
                <w:color w:val="1F2937"/>
                <w:sz w:val="16"/>
              </w:rPr>
              <w:t>Inspect residuals and contextual plausibility.</w:t>
            </w:r>
          </w:p>
        </w:tc>
      </w:tr>
    </w:tbl>
    <w:p/>
    <w:p>
      <w:r>
        <w:br w:type="page"/>
      </w:r>
    </w:p>
    <w:p>
      <w:pPr>
        <w:pStyle w:val="Heading1"/>
        <w:spacing w:before="120" w:after="120" w:line="240" w:lineRule="auto"/>
      </w:pPr>
      <w:r>
        <w:t>7. Topic revision checklist</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2160"/>
            <w:shd w:fill="0E9AA7"/>
            <w:vAlign w:val="center"/>
          </w:tcPr>
          <w:p>
            <w:pPr>
              <w:spacing w:before="0" w:after="20" w:line="240" w:lineRule="auto"/>
            </w:pPr>
            <w:r>
              <w:rPr>
                <w:b/>
                <w:color w:val="FFFFFF"/>
                <w:sz w:val="17"/>
              </w:rPr>
              <w:t>Area</w:t>
            </w:r>
          </w:p>
        </w:tc>
        <w:tc>
          <w:tcPr>
            <w:tcW w:type="dxa" w:w="6624"/>
            <w:shd w:fill="0E9AA7"/>
            <w:vAlign w:val="center"/>
          </w:tcPr>
          <w:p>
            <w:pPr>
              <w:spacing w:before="0" w:after="20" w:line="240" w:lineRule="auto"/>
            </w:pPr>
            <w:r>
              <w:rPr>
                <w:b/>
                <w:color w:val="FFFFFF"/>
                <w:sz w:val="17"/>
              </w:rPr>
              <w:t>Readiness question</w:t>
            </w:r>
          </w:p>
        </w:tc>
        <w:tc>
          <w:tcPr>
            <w:tcW w:type="dxa" w:w="1152"/>
            <w:shd w:fill="0E9AA7"/>
            <w:vAlign w:val="center"/>
          </w:tcPr>
          <w:p>
            <w:pPr>
              <w:spacing w:before="0" w:after="20" w:line="240" w:lineRule="auto"/>
            </w:pPr>
            <w:r>
              <w:rPr>
                <w:b/>
                <w:color w:val="FFFFFF"/>
                <w:sz w:val="17"/>
              </w:rPr>
              <w:t>Level</w:t>
            </w:r>
          </w:p>
        </w:tc>
      </w:tr>
      <w:tr>
        <w:tc>
          <w:tcPr>
            <w:tcW w:type="dxa" w:w="2160"/>
            <w:vAlign w:val="center"/>
          </w:tcPr>
          <w:p>
            <w:pPr>
              <w:spacing w:before="0" w:after="20" w:line="240" w:lineRule="auto"/>
            </w:pPr>
            <w:r>
              <w:rPr>
                <w:rFonts w:ascii="Arial" w:hAnsi="Arial" w:eastAsia="Arial"/>
                <w:color w:val="1F2937"/>
                <w:sz w:val="17"/>
              </w:rPr>
              <w:t>Number/algebra</w:t>
            </w:r>
          </w:p>
        </w:tc>
        <w:tc>
          <w:tcPr>
            <w:tcW w:type="dxa" w:w="6624"/>
            <w:vAlign w:val="center"/>
          </w:tcPr>
          <w:p>
            <w:pPr>
              <w:spacing w:before="0" w:after="20" w:line="240" w:lineRule="auto"/>
            </w:pPr>
            <w:r>
              <w:rPr>
                <w:rFonts w:ascii="Arial" w:hAnsi="Arial" w:eastAsia="Arial"/>
                <w:color w:val="1F2937"/>
                <w:sz w:val="17"/>
              </w:rPr>
              <w:t>Can I estimate, model growth, solve with logs/technology, and interpret finance outputs?</w:t>
            </w:r>
          </w:p>
        </w:tc>
        <w:tc>
          <w:tcPr>
            <w:tcW w:type="dxa" w:w="1152"/>
            <w:vAlign w:val="center"/>
          </w:tcPr>
          <w:p>
            <w:pPr>
              <w:spacing w:before="0" w:after="20" w:line="240" w:lineRule="auto"/>
            </w:pPr>
            <w:r>
              <w:rPr>
                <w:rFonts w:ascii="Arial" w:hAnsi="Arial" w:eastAsia="Arial"/>
                <w:color w:val="1F2937"/>
                <w:sz w:val="17"/>
              </w:rPr>
              <w:t>SL/HL</w:t>
            </w:r>
          </w:p>
        </w:tc>
      </w:tr>
      <w:tr>
        <w:tc>
          <w:tcPr>
            <w:tcW w:type="dxa" w:w="2160"/>
            <w:vAlign w:val="center"/>
            <w:shd w:fill="F8FAFC"/>
          </w:tcPr>
          <w:p>
            <w:pPr>
              <w:spacing w:before="0" w:after="20" w:line="240" w:lineRule="auto"/>
            </w:pPr>
            <w:r>
              <w:rPr>
                <w:rFonts w:ascii="Arial" w:hAnsi="Arial" w:eastAsia="Arial"/>
                <w:color w:val="1F2937"/>
                <w:sz w:val="17"/>
              </w:rPr>
              <w:t>Functions</w:t>
            </w:r>
          </w:p>
        </w:tc>
        <w:tc>
          <w:tcPr>
            <w:tcW w:type="dxa" w:w="6624"/>
            <w:vAlign w:val="center"/>
            <w:shd w:fill="F8FAFC"/>
          </w:tcPr>
          <w:p>
            <w:pPr>
              <w:spacing w:before="0" w:after="20" w:line="240" w:lineRule="auto"/>
            </w:pPr>
            <w:r>
              <w:rPr>
                <w:rFonts w:ascii="Arial" w:hAnsi="Arial" w:eastAsia="Arial"/>
                <w:color w:val="1F2937"/>
                <w:sz w:val="17"/>
              </w:rPr>
              <w:t>Can I choose, fit, compare, transform, and critique models?</w:t>
            </w:r>
          </w:p>
        </w:tc>
        <w:tc>
          <w:tcPr>
            <w:tcW w:type="dxa" w:w="1152"/>
            <w:vAlign w:val="center"/>
            <w:shd w:fill="F8FAFC"/>
          </w:tcPr>
          <w:p>
            <w:pPr>
              <w:spacing w:before="0" w:after="20" w:line="240" w:lineRule="auto"/>
            </w:pPr>
            <w:r>
              <w:rPr>
                <w:rFonts w:ascii="Arial" w:hAnsi="Arial" w:eastAsia="Arial"/>
                <w:color w:val="1F2937"/>
                <w:sz w:val="17"/>
              </w:rPr>
              <w:t>SL/HL</w:t>
            </w:r>
          </w:p>
        </w:tc>
      </w:tr>
      <w:tr>
        <w:tc>
          <w:tcPr>
            <w:tcW w:type="dxa" w:w="2160"/>
            <w:vAlign w:val="center"/>
          </w:tcPr>
          <w:p>
            <w:pPr>
              <w:spacing w:before="0" w:after="20" w:line="240" w:lineRule="auto"/>
            </w:pPr>
            <w:r>
              <w:rPr>
                <w:rFonts w:ascii="Arial" w:hAnsi="Arial" w:eastAsia="Arial"/>
                <w:color w:val="1F2937"/>
                <w:sz w:val="17"/>
              </w:rPr>
              <w:t>Geometry/trig</w:t>
            </w:r>
          </w:p>
        </w:tc>
        <w:tc>
          <w:tcPr>
            <w:tcW w:type="dxa" w:w="6624"/>
            <w:vAlign w:val="center"/>
          </w:tcPr>
          <w:p>
            <w:pPr>
              <w:spacing w:before="0" w:after="20" w:line="240" w:lineRule="auto"/>
            </w:pPr>
            <w:r>
              <w:rPr>
                <w:rFonts w:ascii="Arial" w:hAnsi="Arial" w:eastAsia="Arial"/>
                <w:color w:val="1F2937"/>
                <w:sz w:val="17"/>
              </w:rPr>
              <w:t>Can I draw and label diagrams, solve routes/areas/volumes, and use vectors/networks at HL?</w:t>
            </w:r>
          </w:p>
        </w:tc>
        <w:tc>
          <w:tcPr>
            <w:tcW w:type="dxa" w:w="1152"/>
            <w:vAlign w:val="center"/>
          </w:tcPr>
          <w:p>
            <w:pPr>
              <w:spacing w:before="0" w:after="20" w:line="240" w:lineRule="auto"/>
            </w:pPr>
            <w:r>
              <w:rPr>
                <w:rFonts w:ascii="Arial" w:hAnsi="Arial" w:eastAsia="Arial"/>
                <w:color w:val="1F2937"/>
                <w:sz w:val="17"/>
              </w:rPr>
              <w:t>SL/HL</w:t>
            </w:r>
          </w:p>
        </w:tc>
      </w:tr>
      <w:tr>
        <w:tc>
          <w:tcPr>
            <w:tcW w:type="dxa" w:w="2160"/>
            <w:vAlign w:val="center"/>
            <w:shd w:fill="F8FAFC"/>
          </w:tcPr>
          <w:p>
            <w:pPr>
              <w:spacing w:before="0" w:after="20" w:line="240" w:lineRule="auto"/>
            </w:pPr>
            <w:r>
              <w:rPr>
                <w:rFonts w:ascii="Arial" w:hAnsi="Arial" w:eastAsia="Arial"/>
                <w:color w:val="1F2937"/>
                <w:sz w:val="17"/>
              </w:rPr>
              <w:t>Statistics/probability</w:t>
            </w:r>
          </w:p>
        </w:tc>
        <w:tc>
          <w:tcPr>
            <w:tcW w:type="dxa" w:w="6624"/>
            <w:vAlign w:val="center"/>
            <w:shd w:fill="F8FAFC"/>
          </w:tcPr>
          <w:p>
            <w:pPr>
              <w:spacing w:before="0" w:after="20" w:line="240" w:lineRule="auto"/>
            </w:pPr>
            <w:r>
              <w:rPr>
                <w:rFonts w:ascii="Arial" w:hAnsi="Arial" w:eastAsia="Arial"/>
                <w:color w:val="1F2937"/>
                <w:sz w:val="17"/>
              </w:rPr>
              <w:t>Can I describe data, select distributions, compute probabilities, fit regressions, and interpret tests at HL?</w:t>
            </w:r>
          </w:p>
        </w:tc>
        <w:tc>
          <w:tcPr>
            <w:tcW w:type="dxa" w:w="1152"/>
            <w:vAlign w:val="center"/>
            <w:shd w:fill="F8FAFC"/>
          </w:tcPr>
          <w:p>
            <w:pPr>
              <w:spacing w:before="0" w:after="20" w:line="240" w:lineRule="auto"/>
            </w:pPr>
            <w:r>
              <w:rPr>
                <w:rFonts w:ascii="Arial" w:hAnsi="Arial" w:eastAsia="Arial"/>
                <w:color w:val="1F2937"/>
                <w:sz w:val="17"/>
              </w:rPr>
              <w:t>SL/HL</w:t>
            </w:r>
          </w:p>
        </w:tc>
      </w:tr>
      <w:tr>
        <w:tc>
          <w:tcPr>
            <w:tcW w:type="dxa" w:w="2160"/>
            <w:vAlign w:val="center"/>
          </w:tcPr>
          <w:p>
            <w:pPr>
              <w:spacing w:before="0" w:after="20" w:line="240" w:lineRule="auto"/>
            </w:pPr>
            <w:r>
              <w:rPr>
                <w:rFonts w:ascii="Arial" w:hAnsi="Arial" w:eastAsia="Arial"/>
                <w:color w:val="1F2937"/>
                <w:sz w:val="17"/>
              </w:rPr>
              <w:t>Calculus</w:t>
            </w:r>
          </w:p>
        </w:tc>
        <w:tc>
          <w:tcPr>
            <w:tcW w:type="dxa" w:w="6624"/>
            <w:vAlign w:val="center"/>
          </w:tcPr>
          <w:p>
            <w:pPr>
              <w:spacing w:before="0" w:after="20" w:line="240" w:lineRule="auto"/>
            </w:pPr>
            <w:r>
              <w:rPr>
                <w:rFonts w:ascii="Arial" w:hAnsi="Arial" w:eastAsia="Arial"/>
                <w:color w:val="1F2937"/>
                <w:sz w:val="17"/>
              </w:rPr>
              <w:t>Can I differentiate/integrate, optimize, interpret rates/area, and solve DE/numerical models at HL?</w:t>
            </w:r>
          </w:p>
        </w:tc>
        <w:tc>
          <w:tcPr>
            <w:tcW w:type="dxa" w:w="1152"/>
            <w:vAlign w:val="center"/>
          </w:tcPr>
          <w:p>
            <w:pPr>
              <w:spacing w:before="0" w:after="20" w:line="240" w:lineRule="auto"/>
            </w:pPr>
            <w:r>
              <w:rPr>
                <w:rFonts w:ascii="Arial" w:hAnsi="Arial" w:eastAsia="Arial"/>
                <w:color w:val="1F2937"/>
                <w:sz w:val="17"/>
              </w:rPr>
              <w:t>SL/HL</w:t>
            </w:r>
          </w:p>
        </w:tc>
      </w:tr>
      <w:tr>
        <w:tc>
          <w:tcPr>
            <w:tcW w:type="dxa" w:w="2160"/>
            <w:vAlign w:val="center"/>
            <w:shd w:fill="F8FAFC"/>
          </w:tcPr>
          <w:p>
            <w:pPr>
              <w:spacing w:before="0" w:after="20" w:line="240" w:lineRule="auto"/>
            </w:pPr>
            <w:r>
              <w:rPr>
                <w:rFonts w:ascii="Arial" w:hAnsi="Arial" w:eastAsia="Arial"/>
                <w:color w:val="1F2937"/>
                <w:sz w:val="17"/>
              </w:rPr>
              <w:t>IA/exploration</w:t>
            </w:r>
          </w:p>
        </w:tc>
        <w:tc>
          <w:tcPr>
            <w:tcW w:type="dxa" w:w="6624"/>
            <w:vAlign w:val="center"/>
            <w:shd w:fill="F8FAFC"/>
          </w:tcPr>
          <w:p>
            <w:pPr>
              <w:spacing w:before="0" w:after="20" w:line="240" w:lineRule="auto"/>
            </w:pPr>
            <w:r>
              <w:rPr>
                <w:rFonts w:ascii="Arial" w:hAnsi="Arial" w:eastAsia="Arial"/>
                <w:color w:val="1F2937"/>
                <w:sz w:val="17"/>
              </w:rPr>
              <w:t>Can I specify a problem, use appropriate mathematics, compute accurately, and interpret limitations?</w:t>
            </w:r>
          </w:p>
        </w:tc>
        <w:tc>
          <w:tcPr>
            <w:tcW w:type="dxa" w:w="1152"/>
            <w:vAlign w:val="center"/>
            <w:shd w:fill="F8FAFC"/>
          </w:tcPr>
          <w:p>
            <w:pPr>
              <w:spacing w:before="0" w:after="20" w:line="240" w:lineRule="auto"/>
            </w:pPr>
            <w:r>
              <w:rPr>
                <w:rFonts w:ascii="Arial" w:hAnsi="Arial" w:eastAsia="Arial"/>
                <w:color w:val="1F2937"/>
                <w:sz w:val="17"/>
              </w:rPr>
              <w:t>SL/HL</w:t>
            </w:r>
          </w:p>
        </w:tc>
      </w:tr>
    </w:tbl>
    <w:p/>
    <w:p>
      <w:r>
        <w:br w:type="page"/>
      </w:r>
    </w:p>
    <w:p>
      <w:pPr>
        <w:pStyle w:val="Heading1"/>
        <w:spacing w:before="120" w:after="120" w:line="240" w:lineRule="auto"/>
      </w:pPr>
      <w:r>
        <w:t>8. Sources</w:t>
      </w:r>
    </w:p>
    <w:p>
      <w:pPr>
        <w:spacing w:before="0" w:after="80" w:line="240" w:lineRule="auto"/>
      </w:pPr>
      <w:r>
        <w:t>This booklet is compiled as an original support resource using public IB course information and teacher planning conventions. Check the official IB guide and formula booklet for the exact exam-session requirements.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576"/>
            <w:shd w:fill="0B3954"/>
            <w:vAlign w:val="center"/>
          </w:tcPr>
          <w:p>
            <w:pPr>
              <w:spacing w:before="0" w:after="20" w:line="240" w:lineRule="auto"/>
            </w:pPr>
            <w:r>
              <w:rPr>
                <w:b/>
                <w:color w:val="FFFFFF"/>
                <w:sz w:val="15"/>
              </w:rPr>
              <w:t>ID</w:t>
            </w:r>
          </w:p>
        </w:tc>
        <w:tc>
          <w:tcPr>
            <w:tcW w:type="dxa" w:w="2304"/>
            <w:shd w:fill="0B3954"/>
            <w:vAlign w:val="center"/>
          </w:tcPr>
          <w:p>
            <w:pPr>
              <w:spacing w:before="0" w:after="20" w:line="240" w:lineRule="auto"/>
            </w:pPr>
            <w:r>
              <w:rPr>
                <w:b/>
                <w:color w:val="FFFFFF"/>
                <w:sz w:val="15"/>
              </w:rPr>
              <w:t>Source</w:t>
            </w:r>
          </w:p>
        </w:tc>
        <w:tc>
          <w:tcPr>
            <w:tcW w:type="dxa" w:w="3312"/>
            <w:shd w:fill="0B3954"/>
            <w:vAlign w:val="center"/>
          </w:tcPr>
          <w:p>
            <w:pPr>
              <w:spacing w:before="0" w:after="20" w:line="240" w:lineRule="auto"/>
            </w:pPr>
            <w:r>
              <w:rPr>
                <w:b/>
                <w:color w:val="FFFFFF"/>
                <w:sz w:val="15"/>
              </w:rPr>
              <w:t>Use in this packet</w:t>
            </w:r>
          </w:p>
        </w:tc>
        <w:tc>
          <w:tcPr>
            <w:tcW w:type="dxa" w:w="3600"/>
            <w:shd w:fill="0B3954"/>
            <w:vAlign w:val="center"/>
          </w:tcPr>
          <w:p>
            <w:pPr>
              <w:spacing w:before="0" w:after="20" w:line="240" w:lineRule="auto"/>
            </w:pPr>
            <w:r>
              <w:rPr>
                <w:b/>
                <w:color w:val="FFFFFF"/>
                <w:sz w:val="15"/>
              </w:rPr>
              <w:t>URL</w:t>
            </w:r>
          </w:p>
        </w:tc>
      </w:tr>
      <w:tr>
        <w:tc>
          <w:tcPr>
            <w:tcW w:type="dxa" w:w="576"/>
            <w:vAlign w:val="center"/>
          </w:tcPr>
          <w:p>
            <w:pPr>
              <w:spacing w:before="0" w:after="20" w:line="240" w:lineRule="auto"/>
            </w:pPr>
            <w:r>
              <w:rPr>
                <w:rFonts w:ascii="Arial" w:hAnsi="Arial" w:eastAsia="Arial"/>
                <w:color w:val="1F2937"/>
                <w:sz w:val="15"/>
              </w:rPr>
              <w:t>S1</w:t>
            </w:r>
          </w:p>
        </w:tc>
        <w:tc>
          <w:tcPr>
            <w:tcW w:type="dxa" w:w="2304"/>
            <w:vAlign w:val="center"/>
          </w:tcPr>
          <w:p>
            <w:pPr>
              <w:spacing w:before="0" w:after="20" w:line="240" w:lineRule="auto"/>
            </w:pPr>
            <w:r>
              <w:rPr>
                <w:rFonts w:ascii="Arial" w:hAnsi="Arial" w:eastAsia="Arial"/>
                <w:color w:val="1F2937"/>
                <w:sz w:val="15"/>
              </w:rPr>
              <w:t>International Baccalaureate - Maths in the DP</w:t>
            </w:r>
          </w:p>
        </w:tc>
        <w:tc>
          <w:tcPr>
            <w:tcW w:type="dxa" w:w="3312"/>
            <w:vAlign w:val="center"/>
          </w:tcPr>
          <w:p>
            <w:pPr>
              <w:spacing w:before="0" w:after="20" w:line="240" w:lineRule="auto"/>
            </w:pPr>
            <w:r>
              <w:rPr>
                <w:rFonts w:ascii="Arial" w:hAnsi="Arial" w:eastAsia="Arial"/>
                <w:color w:val="1F2937"/>
                <w:sz w:val="15"/>
              </w:rPr>
              <w:t>Official overview of available DP mathematics courses, technology expectations, and subject brief links.</w:t>
            </w:r>
          </w:p>
        </w:tc>
        <w:tc>
          <w:tcPr>
            <w:tcW w:type="dxa" w:w="3600"/>
            <w:vAlign w:val="center"/>
          </w:tcPr>
          <w:p>
            <w:pPr>
              <w:spacing w:before="0" w:after="20" w:line="240" w:lineRule="auto"/>
            </w:pPr>
            <w:r>
              <w:rPr>
                <w:rFonts w:ascii="Arial" w:hAnsi="Arial" w:eastAsia="Arial"/>
                <w:color w:val="1F2937"/>
                <w:sz w:val="15"/>
              </w:rPr>
              <w:t>https://ibo.org/programmes/diploma-programme/curriculum/mathematics/</w:t>
            </w:r>
          </w:p>
        </w:tc>
      </w:tr>
      <w:tr>
        <w:tc>
          <w:tcPr>
            <w:tcW w:type="dxa" w:w="576"/>
            <w:vAlign w:val="center"/>
            <w:shd w:fill="F8FAFC"/>
          </w:tcPr>
          <w:p>
            <w:pPr>
              <w:spacing w:before="0" w:after="20" w:line="240" w:lineRule="auto"/>
            </w:pPr>
            <w:r>
              <w:rPr>
                <w:rFonts w:ascii="Arial" w:hAnsi="Arial" w:eastAsia="Arial"/>
                <w:color w:val="1F2937"/>
                <w:sz w:val="15"/>
              </w:rPr>
              <w:t>S2</w:t>
            </w:r>
          </w:p>
        </w:tc>
        <w:tc>
          <w:tcPr>
            <w:tcW w:type="dxa" w:w="2304"/>
            <w:vAlign w:val="center"/>
            <w:shd w:fill="F8FAFC"/>
          </w:tcPr>
          <w:p>
            <w:pPr>
              <w:spacing w:before="0" w:after="20" w:line="240" w:lineRule="auto"/>
            </w:pPr>
            <w:r>
              <w:rPr>
                <w:rFonts w:ascii="Arial" w:hAnsi="Arial" w:eastAsia="Arial"/>
                <w:color w:val="1F2937"/>
                <w:sz w:val="15"/>
              </w:rPr>
              <w:t>IB Mathematics: Applications and Interpretation Subject Brief 2021</w:t>
            </w:r>
          </w:p>
        </w:tc>
        <w:tc>
          <w:tcPr>
            <w:tcW w:type="dxa" w:w="3312"/>
            <w:vAlign w:val="center"/>
            <w:shd w:fill="F8FAFC"/>
          </w:tcPr>
          <w:p>
            <w:pPr>
              <w:spacing w:before="0" w:after="20" w:line="240" w:lineRule="auto"/>
            </w:pPr>
            <w:r>
              <w:rPr>
                <w:rFonts w:ascii="Arial" w:hAnsi="Arial" w:eastAsia="Arial"/>
                <w:color w:val="1F2937"/>
                <w:sz w:val="15"/>
              </w:rPr>
              <w:t>Public subject brief for the current AI SL/HL course first assessed in 2021.</w:t>
            </w:r>
          </w:p>
        </w:tc>
        <w:tc>
          <w:tcPr>
            <w:tcW w:type="dxa" w:w="3600"/>
            <w:vAlign w:val="center"/>
            <w:shd w:fill="F8FAFC"/>
          </w:tcPr>
          <w:p>
            <w:pPr>
              <w:spacing w:before="0" w:after="20" w:line="240" w:lineRule="auto"/>
            </w:pPr>
            <w:r>
              <w:rPr>
                <w:rFonts w:ascii="Arial" w:hAnsi="Arial" w:eastAsia="Arial"/>
                <w:color w:val="1F2937"/>
                <w:sz w:val="15"/>
              </w:rPr>
              <w:t>https://ibo.org/contentassets/5895a05412144fe890312bad52b17044/subject-brief-dp-math-applications-and-interpretations-en.pdf</w:t>
            </w:r>
          </w:p>
        </w:tc>
      </w:tr>
      <w:tr>
        <w:tc>
          <w:tcPr>
            <w:tcW w:type="dxa" w:w="576"/>
            <w:vAlign w:val="center"/>
          </w:tcPr>
          <w:p>
            <w:pPr>
              <w:spacing w:before="0" w:after="20" w:line="240" w:lineRule="auto"/>
            </w:pPr>
            <w:r>
              <w:rPr>
                <w:rFonts w:ascii="Arial" w:hAnsi="Arial" w:eastAsia="Arial"/>
                <w:color w:val="1F2937"/>
                <w:sz w:val="15"/>
              </w:rPr>
              <w:t>S3</w:t>
            </w:r>
          </w:p>
        </w:tc>
        <w:tc>
          <w:tcPr>
            <w:tcW w:type="dxa" w:w="2304"/>
            <w:vAlign w:val="center"/>
          </w:tcPr>
          <w:p>
            <w:pPr>
              <w:spacing w:before="0" w:after="20" w:line="240" w:lineRule="auto"/>
            </w:pPr>
            <w:r>
              <w:rPr>
                <w:rFonts w:ascii="Arial" w:hAnsi="Arial" w:eastAsia="Arial"/>
                <w:color w:val="1F2937"/>
                <w:sz w:val="15"/>
              </w:rPr>
              <w:t>IB Mathematics: Applications and Interpretation Subject Brief 2029</w:t>
            </w:r>
          </w:p>
        </w:tc>
        <w:tc>
          <w:tcPr>
            <w:tcW w:type="dxa" w:w="3312"/>
            <w:vAlign w:val="center"/>
          </w:tcPr>
          <w:p>
            <w:pPr>
              <w:spacing w:before="0" w:after="20" w:line="240" w:lineRule="auto"/>
            </w:pPr>
            <w:r>
              <w:rPr>
                <w:rFonts w:ascii="Arial" w:hAnsi="Arial" w:eastAsia="Arial"/>
                <w:color w:val="1F2937"/>
                <w:sz w:val="15"/>
              </w:rPr>
              <w:t>Public subject brief for the revised AI SL/HL course first assessed in 2029.</w:t>
            </w:r>
          </w:p>
        </w:tc>
        <w:tc>
          <w:tcPr>
            <w:tcW w:type="dxa" w:w="3600"/>
            <w:vAlign w:val="center"/>
          </w:tcPr>
          <w:p>
            <w:pPr>
              <w:spacing w:before="0" w:after="20" w:line="240" w:lineRule="auto"/>
            </w:pPr>
            <w:r>
              <w:rPr>
                <w:rFonts w:ascii="Arial" w:hAnsi="Arial" w:eastAsia="Arial"/>
                <w:color w:val="1F2937"/>
                <w:sz w:val="15"/>
              </w:rPr>
              <w:t>https://ibo.org/globalassets/new-structure/programmes/dp/pdfs/sb_maths_application_en.pdf</w:t>
            </w:r>
          </w:p>
        </w:tc>
      </w:tr>
      <w:tr>
        <w:tc>
          <w:tcPr>
            <w:tcW w:type="dxa" w:w="576"/>
            <w:vAlign w:val="center"/>
            <w:shd w:fill="F8FAFC"/>
          </w:tcPr>
          <w:p>
            <w:pPr>
              <w:spacing w:before="0" w:after="20" w:line="240" w:lineRule="auto"/>
            </w:pPr>
            <w:r>
              <w:rPr>
                <w:rFonts w:ascii="Arial" w:hAnsi="Arial" w:eastAsia="Arial"/>
                <w:color w:val="1F2937"/>
                <w:sz w:val="15"/>
              </w:rPr>
              <w:t>S4</w:t>
            </w:r>
          </w:p>
        </w:tc>
        <w:tc>
          <w:tcPr>
            <w:tcW w:type="dxa" w:w="2304"/>
            <w:vAlign w:val="center"/>
            <w:shd w:fill="F8FAFC"/>
          </w:tcPr>
          <w:p>
            <w:pPr>
              <w:spacing w:before="0" w:after="20" w:line="240" w:lineRule="auto"/>
            </w:pPr>
            <w:r>
              <w:rPr>
                <w:rFonts w:ascii="Arial" w:hAnsi="Arial" w:eastAsia="Arial"/>
                <w:color w:val="1F2937"/>
                <w:sz w:val="15"/>
              </w:rPr>
              <w:t>Mathematics: Applications and Interpretation Guide 2019 public copy</w:t>
            </w:r>
          </w:p>
        </w:tc>
        <w:tc>
          <w:tcPr>
            <w:tcW w:type="dxa" w:w="3312"/>
            <w:vAlign w:val="center"/>
            <w:shd w:fill="F8FAFC"/>
          </w:tcPr>
          <w:p>
            <w:pPr>
              <w:spacing w:before="0" w:after="20" w:line="240" w:lineRule="auto"/>
            </w:pPr>
            <w:r>
              <w:rPr>
                <w:rFonts w:ascii="Arial" w:hAnsi="Arial" w:eastAsia="Arial"/>
                <w:color w:val="1F2937"/>
                <w:sz w:val="15"/>
              </w:rPr>
              <w:t>Detailed 2021-course syllabus and planning guidance; official guide should be checked on the IB Programme Resource Centre.</w:t>
            </w:r>
          </w:p>
        </w:tc>
        <w:tc>
          <w:tcPr>
            <w:tcW w:type="dxa" w:w="3600"/>
            <w:vAlign w:val="center"/>
            <w:shd w:fill="F8FAFC"/>
          </w:tcPr>
          <w:p>
            <w:pPr>
              <w:spacing w:before="0" w:after="20" w:line="240" w:lineRule="auto"/>
            </w:pPr>
            <w:r>
              <w:rPr>
                <w:rFonts w:ascii="Arial" w:hAnsi="Arial" w:eastAsia="Arial"/>
                <w:color w:val="1F2937"/>
                <w:sz w:val="15"/>
              </w:rPr>
              <w:t>https://www.woodstockschool.in/wp-content/uploads/2019/10/Mathematics-applications-and-interpretation-guide.pdf</w:t>
            </w:r>
          </w:p>
        </w:tc>
      </w:tr>
      <w:tr>
        <w:tc>
          <w:tcPr>
            <w:tcW w:type="dxa" w:w="576"/>
            <w:vAlign w:val="center"/>
          </w:tcPr>
          <w:p>
            <w:pPr>
              <w:spacing w:before="0" w:after="20" w:line="240" w:lineRule="auto"/>
            </w:pPr>
            <w:r>
              <w:rPr>
                <w:rFonts w:ascii="Arial" w:hAnsi="Arial" w:eastAsia="Arial"/>
                <w:color w:val="1F2937"/>
                <w:sz w:val="15"/>
              </w:rPr>
              <w:t>S5</w:t>
            </w:r>
          </w:p>
        </w:tc>
        <w:tc>
          <w:tcPr>
            <w:tcW w:type="dxa" w:w="2304"/>
            <w:vAlign w:val="center"/>
          </w:tcPr>
          <w:p>
            <w:pPr>
              <w:spacing w:before="0" w:after="20" w:line="240" w:lineRule="auto"/>
            </w:pPr>
            <w:r>
              <w:rPr>
                <w:rFonts w:ascii="Arial" w:hAnsi="Arial" w:eastAsia="Arial"/>
                <w:color w:val="1F2937"/>
                <w:sz w:val="15"/>
              </w:rPr>
              <w:t>IB Programme Resource Centre</w:t>
            </w:r>
          </w:p>
        </w:tc>
        <w:tc>
          <w:tcPr>
            <w:tcW w:type="dxa" w:w="3312"/>
            <w:vAlign w:val="center"/>
          </w:tcPr>
          <w:p>
            <w:pPr>
              <w:spacing w:before="0" w:after="20" w:line="240" w:lineRule="auto"/>
            </w:pPr>
            <w:r>
              <w:rPr>
                <w:rFonts w:ascii="Arial" w:hAnsi="Arial" w:eastAsia="Arial"/>
                <w:color w:val="1F2937"/>
                <w:sz w:val="15"/>
              </w:rPr>
              <w:t>Official source for current subject guides, teacher support materials, subject reports, grade descriptors, and updates.</w:t>
            </w:r>
          </w:p>
        </w:tc>
        <w:tc>
          <w:tcPr>
            <w:tcW w:type="dxa" w:w="3600"/>
            <w:vAlign w:val="center"/>
          </w:tcPr>
          <w:p>
            <w:pPr>
              <w:spacing w:before="0" w:after="20" w:line="240" w:lineRule="auto"/>
            </w:pPr>
            <w:r>
              <w:rPr>
                <w:rFonts w:ascii="Arial" w:hAnsi="Arial" w:eastAsia="Arial"/>
                <w:color w:val="1F2937"/>
                <w:sz w:val="15"/>
              </w:rPr>
              <w:t>https://resources.ibo.org/</w:t>
            </w:r>
          </w:p>
        </w:tc>
      </w:tr>
      <w:tr>
        <w:tc>
          <w:tcPr>
            <w:tcW w:type="dxa" w:w="576"/>
            <w:vAlign w:val="center"/>
            <w:shd w:fill="F8FAFC"/>
          </w:tcPr>
          <w:p>
            <w:pPr>
              <w:spacing w:before="0" w:after="20" w:line="240" w:lineRule="auto"/>
            </w:pPr>
            <w:r>
              <w:rPr>
                <w:rFonts w:ascii="Arial" w:hAnsi="Arial" w:eastAsia="Arial"/>
                <w:color w:val="1F2937"/>
                <w:sz w:val="15"/>
              </w:rPr>
              <w:t>S6</w:t>
            </w:r>
          </w:p>
        </w:tc>
        <w:tc>
          <w:tcPr>
            <w:tcW w:type="dxa" w:w="2304"/>
            <w:vAlign w:val="center"/>
            <w:shd w:fill="F8FAFC"/>
          </w:tcPr>
          <w:p>
            <w:pPr>
              <w:spacing w:before="0" w:after="20" w:line="240" w:lineRule="auto"/>
            </w:pPr>
            <w:r>
              <w:rPr>
                <w:rFonts w:ascii="Arial" w:hAnsi="Arial" w:eastAsia="Arial"/>
                <w:color w:val="1F2937"/>
                <w:sz w:val="15"/>
              </w:rPr>
              <w:t>IB Store / official publications</w:t>
            </w:r>
          </w:p>
        </w:tc>
        <w:tc>
          <w:tcPr>
            <w:tcW w:type="dxa" w:w="3312"/>
            <w:vAlign w:val="center"/>
            <w:shd w:fill="F8FAFC"/>
          </w:tcPr>
          <w:p>
            <w:pPr>
              <w:spacing w:before="0" w:after="20" w:line="240" w:lineRule="auto"/>
            </w:pPr>
            <w:r>
              <w:rPr>
                <w:rFonts w:ascii="Arial" w:hAnsi="Arial" w:eastAsia="Arial"/>
                <w:color w:val="1F2937"/>
                <w:sz w:val="15"/>
              </w:rPr>
              <w:t>Official source for purchased guides, exam papers, and markschemes where available.</w:t>
            </w:r>
          </w:p>
        </w:tc>
        <w:tc>
          <w:tcPr>
            <w:tcW w:type="dxa" w:w="3600"/>
            <w:vAlign w:val="center"/>
            <w:shd w:fill="F8FAFC"/>
          </w:tcPr>
          <w:p>
            <w:pPr>
              <w:spacing w:before="0" w:after="20" w:line="240" w:lineRule="auto"/>
            </w:pPr>
            <w:r>
              <w:rPr>
                <w:rFonts w:ascii="Arial" w:hAnsi="Arial" w:eastAsia="Arial"/>
                <w:color w:val="1F2937"/>
                <w:sz w:val="15"/>
              </w:rPr>
              <w:t>https://ibo.org/new-store</w:t>
            </w:r>
          </w:p>
        </w:tc>
      </w:tr>
    </w:tbl>
    <w:p/>
    <w:sectPr w:rsidR="00FC693F" w:rsidRPr="0006063C" w:rsidSect="00034616">
      <w:headerReference w:type="default" r:id="rId9"/>
      <w:footerReference w:type="default" r:id="rId10"/>
      <w:pgSz w:w="12240" w:h="15840"/>
      <w:pgMar w:top="936" w:right="864" w:bottom="93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A646E"/>
        <w:sz w:val="16"/>
      </w:rPr>
      <w:t>Formulae and Important Topics Booklet | original support resource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5A646E"/>
        <w:sz w:val="16"/>
      </w:rPr>
      <w:t>IB Mathematics: Applications and Interpretation SL/HL Packet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B3954"/>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0E9AA7"/>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1F2937"/>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0B3954"/>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